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A1F2" w14:textId="77777777" w:rsidR="00555224" w:rsidRPr="00BA2F00" w:rsidRDefault="00555224" w:rsidP="001E3DE5">
      <w:pPr>
        <w:pStyle w:val="Pagedecouverture"/>
        <w:rPr>
          <w:noProof/>
          <w:sz w:val="22"/>
        </w:rPr>
      </w:pPr>
    </w:p>
    <w:p w14:paraId="66EAB98C" w14:textId="77777777" w:rsidR="0087657F" w:rsidRPr="00BA2F00" w:rsidRDefault="001A17F5" w:rsidP="001E3DE5">
      <w:pPr>
        <w:pStyle w:val="Annexetitre"/>
        <w:jc w:val="both"/>
        <w:rPr>
          <w:noProof/>
          <w:sz w:val="22"/>
        </w:rPr>
      </w:pPr>
      <w:r w:rsidRPr="00BA2F00">
        <w:rPr>
          <w:noProof/>
          <w:sz w:val="22"/>
        </w:rPr>
        <w:t>L</w:t>
      </w:r>
      <w:r w:rsidR="001F5240" w:rsidRPr="00BA2F00">
        <w:rPr>
          <w:noProof/>
          <w:sz w:val="22"/>
        </w:rPr>
        <w:t xml:space="preserve">etno poročilo o smotrnosti Sklada za azil, migracije in vključevanje iz </w:t>
      </w:r>
      <w:r w:rsidRPr="00BA2F00">
        <w:rPr>
          <w:noProof/>
          <w:sz w:val="22"/>
        </w:rPr>
        <w:t>člena 35 Uredbe (EU) 2021/1147</w:t>
      </w:r>
    </w:p>
    <w:p w14:paraId="55DD1AC8" w14:textId="77777777" w:rsidR="0087657F" w:rsidRPr="00BA2F00" w:rsidRDefault="0087657F" w:rsidP="001E3DE5">
      <w:pPr>
        <w:rPr>
          <w:noProof/>
          <w:sz w:val="22"/>
        </w:rPr>
      </w:pPr>
    </w:p>
    <w:p w14:paraId="1E594C37" w14:textId="77777777" w:rsidR="0087657F" w:rsidRPr="00BA2F00" w:rsidRDefault="0087657F" w:rsidP="001E3DE5">
      <w:pPr>
        <w:pStyle w:val="ManualHeading1"/>
        <w:rPr>
          <w:noProof/>
          <w:sz w:val="22"/>
        </w:rPr>
      </w:pPr>
      <w:r w:rsidRPr="00BA2F00">
        <w:rPr>
          <w:noProof/>
          <w:sz w:val="22"/>
        </w:rPr>
        <w:t>OPREDELITEV</w:t>
      </w:r>
    </w:p>
    <w:tbl>
      <w:tblPr>
        <w:tblStyle w:val="Tabelasvetlamrea"/>
        <w:tblW w:w="9289" w:type="dxa"/>
        <w:tblLook w:val="04A0" w:firstRow="1" w:lastRow="0" w:firstColumn="1" w:lastColumn="0" w:noHBand="0" w:noVBand="1"/>
      </w:tblPr>
      <w:tblGrid>
        <w:gridCol w:w="4644"/>
        <w:gridCol w:w="4645"/>
      </w:tblGrid>
      <w:tr w:rsidR="00BA2F00" w:rsidRPr="00BA2F00" w14:paraId="67D00EF7" w14:textId="77777777" w:rsidTr="00D01BC5">
        <w:tc>
          <w:tcPr>
            <w:tcW w:w="4644" w:type="dxa"/>
          </w:tcPr>
          <w:p w14:paraId="62CDA07C" w14:textId="77777777" w:rsidR="00D01BC5" w:rsidRPr="00BA2F00" w:rsidRDefault="00D01BC5" w:rsidP="001E3DE5">
            <w:pPr>
              <w:pStyle w:val="Personnequisigne"/>
              <w:jc w:val="both"/>
              <w:rPr>
                <w:i w:val="0"/>
                <w:noProof/>
                <w:sz w:val="22"/>
              </w:rPr>
            </w:pPr>
            <w:r w:rsidRPr="00BA2F00">
              <w:rPr>
                <w:i w:val="0"/>
                <w:noProof/>
                <w:sz w:val="22"/>
              </w:rPr>
              <w:t>CCI</w:t>
            </w:r>
          </w:p>
        </w:tc>
        <w:tc>
          <w:tcPr>
            <w:tcW w:w="4645" w:type="dxa"/>
          </w:tcPr>
          <w:p w14:paraId="0592B255" w14:textId="77777777" w:rsidR="00D01BC5" w:rsidRPr="00BA2F00" w:rsidRDefault="00D01BC5" w:rsidP="001E3DE5">
            <w:pPr>
              <w:pStyle w:val="Personnequisigne"/>
              <w:jc w:val="both"/>
              <w:rPr>
                <w:i w:val="0"/>
                <w:noProof/>
                <w:sz w:val="22"/>
              </w:rPr>
            </w:pPr>
            <w:r w:rsidRPr="00BA2F00">
              <w:rPr>
                <w:i w:val="0"/>
                <w:noProof/>
                <w:sz w:val="22"/>
              </w:rPr>
              <w:t>2021SI65AMPR001</w:t>
            </w:r>
          </w:p>
        </w:tc>
      </w:tr>
      <w:tr w:rsidR="00BA2F00" w:rsidRPr="00BA2F00" w14:paraId="7986388E" w14:textId="77777777" w:rsidTr="00D01BC5">
        <w:tc>
          <w:tcPr>
            <w:tcW w:w="4644" w:type="dxa"/>
          </w:tcPr>
          <w:p w14:paraId="33DAFA64" w14:textId="77777777" w:rsidR="00D01BC5" w:rsidRPr="00BA2F00" w:rsidRDefault="00D01BC5" w:rsidP="001E3DE5">
            <w:pPr>
              <w:pStyle w:val="Personnequisigne"/>
              <w:jc w:val="both"/>
              <w:rPr>
                <w:i w:val="0"/>
                <w:noProof/>
                <w:sz w:val="22"/>
              </w:rPr>
            </w:pPr>
            <w:r w:rsidRPr="00BA2F00">
              <w:rPr>
                <w:i w:val="0"/>
                <w:noProof/>
                <w:sz w:val="22"/>
              </w:rPr>
              <w:t>Naslov</w:t>
            </w:r>
          </w:p>
        </w:tc>
        <w:tc>
          <w:tcPr>
            <w:tcW w:w="4645" w:type="dxa"/>
          </w:tcPr>
          <w:p w14:paraId="72C48DF1" w14:textId="77777777" w:rsidR="00D01BC5" w:rsidRPr="00BA2F00" w:rsidRDefault="00D01BC5" w:rsidP="001E3DE5">
            <w:pPr>
              <w:pStyle w:val="Personnequisigne"/>
              <w:jc w:val="both"/>
              <w:rPr>
                <w:i w:val="0"/>
                <w:noProof/>
                <w:sz w:val="22"/>
              </w:rPr>
            </w:pPr>
            <w:r w:rsidRPr="00BA2F00">
              <w:rPr>
                <w:i w:val="0"/>
                <w:noProof/>
                <w:sz w:val="22"/>
              </w:rPr>
              <w:t>Programme Slovenia-AMIF</w:t>
            </w:r>
          </w:p>
        </w:tc>
      </w:tr>
      <w:tr w:rsidR="00BA2F00" w:rsidRPr="00BA2F00" w14:paraId="05875388" w14:textId="77777777" w:rsidTr="00D01BC5">
        <w:tc>
          <w:tcPr>
            <w:tcW w:w="4644" w:type="dxa"/>
          </w:tcPr>
          <w:p w14:paraId="2D348FE8" w14:textId="77777777" w:rsidR="00D01BC5" w:rsidRPr="00BA2F00" w:rsidRDefault="00D01BC5" w:rsidP="001E3DE5">
            <w:pPr>
              <w:pStyle w:val="Personnequisigne"/>
              <w:jc w:val="both"/>
              <w:rPr>
                <w:i w:val="0"/>
                <w:noProof/>
                <w:sz w:val="22"/>
              </w:rPr>
            </w:pPr>
            <w:r w:rsidRPr="00BA2F00">
              <w:rPr>
                <w:i w:val="0"/>
                <w:noProof/>
                <w:sz w:val="22"/>
              </w:rPr>
              <w:t>Različica</w:t>
            </w:r>
          </w:p>
        </w:tc>
        <w:tc>
          <w:tcPr>
            <w:tcW w:w="4645" w:type="dxa"/>
          </w:tcPr>
          <w:p w14:paraId="5481758C" w14:textId="5DDFADAB" w:rsidR="00D01BC5" w:rsidRPr="00BA2F00" w:rsidRDefault="00010907" w:rsidP="001E3DE5">
            <w:pPr>
              <w:pStyle w:val="Personnequisigne"/>
              <w:jc w:val="both"/>
              <w:rPr>
                <w:i w:val="0"/>
                <w:noProof/>
                <w:sz w:val="22"/>
              </w:rPr>
            </w:pPr>
            <w:r w:rsidRPr="00BA2F00">
              <w:rPr>
                <w:i w:val="0"/>
                <w:noProof/>
                <w:sz w:val="22"/>
              </w:rPr>
              <w:t>1.0</w:t>
            </w:r>
          </w:p>
        </w:tc>
      </w:tr>
      <w:tr w:rsidR="00BA2F00" w:rsidRPr="00BA2F00" w14:paraId="53A9AA37" w14:textId="77777777" w:rsidTr="00D01BC5">
        <w:tc>
          <w:tcPr>
            <w:tcW w:w="4644" w:type="dxa"/>
          </w:tcPr>
          <w:p w14:paraId="339C2973" w14:textId="77777777" w:rsidR="00D01BC5" w:rsidRPr="00BA2F00" w:rsidRDefault="00D01BC5" w:rsidP="001E3DE5">
            <w:pPr>
              <w:pStyle w:val="Personnequisigne"/>
              <w:jc w:val="both"/>
              <w:rPr>
                <w:i w:val="0"/>
                <w:noProof/>
                <w:sz w:val="22"/>
              </w:rPr>
            </w:pPr>
            <w:r w:rsidRPr="00BA2F00">
              <w:rPr>
                <w:i w:val="0"/>
                <w:noProof/>
                <w:sz w:val="22"/>
              </w:rPr>
              <w:t>Obračunsko leto</w:t>
            </w:r>
          </w:p>
        </w:tc>
        <w:tc>
          <w:tcPr>
            <w:tcW w:w="4645" w:type="dxa"/>
          </w:tcPr>
          <w:p w14:paraId="08EEFE97" w14:textId="7ED0E233" w:rsidR="00D01BC5" w:rsidRPr="00BA2F00" w:rsidRDefault="00C4669D" w:rsidP="001E3DE5">
            <w:pPr>
              <w:pStyle w:val="Personnequisigne"/>
              <w:jc w:val="both"/>
              <w:rPr>
                <w:i w:val="0"/>
                <w:noProof/>
                <w:sz w:val="22"/>
                <w:highlight w:val="yellow"/>
              </w:rPr>
            </w:pPr>
            <w:r w:rsidRPr="00BA2F00">
              <w:rPr>
                <w:i w:val="0"/>
                <w:noProof/>
                <w:sz w:val="22"/>
              </w:rPr>
              <w:t>1.</w:t>
            </w:r>
            <w:r w:rsidR="00BA2F00" w:rsidRPr="00BA2F00">
              <w:rPr>
                <w:i w:val="0"/>
                <w:noProof/>
                <w:sz w:val="22"/>
              </w:rPr>
              <w:t xml:space="preserve"> </w:t>
            </w:r>
            <w:r w:rsidRPr="00BA2F00">
              <w:rPr>
                <w:i w:val="0"/>
                <w:noProof/>
                <w:sz w:val="22"/>
              </w:rPr>
              <w:t>7.</w:t>
            </w:r>
            <w:r w:rsidR="00BA2F00" w:rsidRPr="00BA2F00">
              <w:rPr>
                <w:i w:val="0"/>
                <w:noProof/>
                <w:sz w:val="22"/>
              </w:rPr>
              <w:t xml:space="preserve"> </w:t>
            </w:r>
            <w:r w:rsidRPr="00BA2F00">
              <w:rPr>
                <w:i w:val="0"/>
                <w:noProof/>
                <w:sz w:val="22"/>
              </w:rPr>
              <w:t>202</w:t>
            </w:r>
            <w:r w:rsidR="006A27C5" w:rsidRPr="00BA2F00">
              <w:rPr>
                <w:i w:val="0"/>
                <w:noProof/>
                <w:sz w:val="22"/>
              </w:rPr>
              <w:t>4</w:t>
            </w:r>
            <w:r w:rsidR="00DA4462" w:rsidRPr="00BA2F00">
              <w:rPr>
                <w:i w:val="0"/>
                <w:noProof/>
                <w:sz w:val="22"/>
              </w:rPr>
              <w:t xml:space="preserve"> </w:t>
            </w:r>
            <w:r w:rsidRPr="00BA2F00">
              <w:rPr>
                <w:i w:val="0"/>
                <w:noProof/>
                <w:sz w:val="22"/>
              </w:rPr>
              <w:t>-</w:t>
            </w:r>
            <w:r w:rsidR="00DA4462" w:rsidRPr="00BA2F00">
              <w:rPr>
                <w:i w:val="0"/>
                <w:noProof/>
                <w:sz w:val="22"/>
              </w:rPr>
              <w:t xml:space="preserve"> </w:t>
            </w:r>
            <w:r w:rsidRPr="00BA2F00">
              <w:rPr>
                <w:i w:val="0"/>
                <w:noProof/>
                <w:sz w:val="22"/>
              </w:rPr>
              <w:t>30.</w:t>
            </w:r>
            <w:r w:rsidR="00BA2F00" w:rsidRPr="00BA2F00">
              <w:rPr>
                <w:i w:val="0"/>
                <w:noProof/>
                <w:sz w:val="22"/>
              </w:rPr>
              <w:t xml:space="preserve"> </w:t>
            </w:r>
            <w:r w:rsidRPr="00BA2F00">
              <w:rPr>
                <w:i w:val="0"/>
                <w:noProof/>
                <w:sz w:val="22"/>
              </w:rPr>
              <w:t>6.</w:t>
            </w:r>
            <w:r w:rsidR="00BA2F00" w:rsidRPr="00BA2F00">
              <w:rPr>
                <w:i w:val="0"/>
                <w:noProof/>
                <w:sz w:val="22"/>
              </w:rPr>
              <w:t xml:space="preserve"> </w:t>
            </w:r>
            <w:r w:rsidRPr="00BA2F00">
              <w:rPr>
                <w:i w:val="0"/>
                <w:noProof/>
                <w:sz w:val="22"/>
              </w:rPr>
              <w:t>2</w:t>
            </w:r>
            <w:r w:rsidR="008667FD" w:rsidRPr="00BA2F00">
              <w:rPr>
                <w:i w:val="0"/>
                <w:noProof/>
                <w:sz w:val="22"/>
              </w:rPr>
              <w:t>025</w:t>
            </w:r>
          </w:p>
        </w:tc>
      </w:tr>
      <w:tr w:rsidR="00BA2F00" w:rsidRPr="00BA2F00" w14:paraId="6451123F" w14:textId="77777777" w:rsidTr="00D01BC5">
        <w:tc>
          <w:tcPr>
            <w:tcW w:w="4644" w:type="dxa"/>
          </w:tcPr>
          <w:p w14:paraId="2EF3E523" w14:textId="77777777" w:rsidR="00D01BC5" w:rsidRPr="00BA2F00" w:rsidRDefault="00D01BC5" w:rsidP="001E3DE5">
            <w:pPr>
              <w:pStyle w:val="Personnequisigne"/>
              <w:jc w:val="both"/>
              <w:rPr>
                <w:i w:val="0"/>
                <w:noProof/>
                <w:sz w:val="22"/>
              </w:rPr>
            </w:pPr>
            <w:r w:rsidRPr="00BA2F00">
              <w:rPr>
                <w:i w:val="0"/>
                <w:noProof/>
                <w:sz w:val="22"/>
              </w:rPr>
              <w:t>Datum potrditve poročila s strani odbora za spremljanje</w:t>
            </w:r>
          </w:p>
        </w:tc>
        <w:tc>
          <w:tcPr>
            <w:tcW w:w="4645" w:type="dxa"/>
          </w:tcPr>
          <w:p w14:paraId="5DAA2B6E" w14:textId="67C9629F" w:rsidR="00D01BC5" w:rsidRPr="00BA2F00" w:rsidRDefault="00D01BC5" w:rsidP="001E3DE5">
            <w:pPr>
              <w:pStyle w:val="Personnequisigne"/>
              <w:jc w:val="both"/>
              <w:rPr>
                <w:i w:val="0"/>
                <w:noProof/>
                <w:sz w:val="22"/>
              </w:rPr>
            </w:pPr>
          </w:p>
        </w:tc>
      </w:tr>
    </w:tbl>
    <w:p w14:paraId="1535DB53" w14:textId="77777777" w:rsidR="0087657F" w:rsidRPr="00BA2F00" w:rsidRDefault="00CF7D3B" w:rsidP="001E3DE5">
      <w:pPr>
        <w:pStyle w:val="ManualHeading1"/>
        <w:rPr>
          <w:noProof/>
          <w:sz w:val="22"/>
        </w:rPr>
      </w:pPr>
      <w:r w:rsidRPr="00BA2F00">
        <w:rPr>
          <w:sz w:val="22"/>
        </w:rPr>
        <w:t>1.</w:t>
      </w:r>
      <w:r w:rsidRPr="00BA2F00">
        <w:rPr>
          <w:sz w:val="22"/>
        </w:rPr>
        <w:tab/>
      </w:r>
      <w:r w:rsidR="0087657F" w:rsidRPr="00BA2F00">
        <w:rPr>
          <w:noProof/>
          <w:sz w:val="22"/>
        </w:rPr>
        <w:t>Smotrnost</w:t>
      </w:r>
    </w:p>
    <w:p w14:paraId="4E2BA9DC" w14:textId="77777777" w:rsidR="0087657F" w:rsidRPr="00BA2F00" w:rsidRDefault="00CF7D3B" w:rsidP="001E3DE5">
      <w:pPr>
        <w:pStyle w:val="ManualHeading2"/>
        <w:rPr>
          <w:noProof/>
          <w:sz w:val="22"/>
        </w:rPr>
      </w:pPr>
      <w:r w:rsidRPr="00BA2F00">
        <w:rPr>
          <w:sz w:val="22"/>
        </w:rPr>
        <w:t>1.1.</w:t>
      </w:r>
      <w:r w:rsidRPr="00BA2F00">
        <w:rPr>
          <w:sz w:val="22"/>
        </w:rPr>
        <w:tab/>
      </w:r>
      <w:r w:rsidR="0087657F" w:rsidRPr="00BA2F00">
        <w:rPr>
          <w:noProof/>
          <w:sz w:val="22"/>
        </w:rPr>
        <w:t>Napredek pri izvajanju – člen 35(2), točka (a), Uredbe (EU) 2021/1147</w:t>
      </w:r>
    </w:p>
    <w:p w14:paraId="7C204B4A" w14:textId="77777777" w:rsidR="0087657F" w:rsidRPr="00BA2F00" w:rsidRDefault="0087657F" w:rsidP="001E3DE5">
      <w:pPr>
        <w:rPr>
          <w:noProof/>
          <w:sz w:val="22"/>
        </w:rPr>
      </w:pPr>
      <w:r w:rsidRPr="00BA2F00">
        <w:rPr>
          <w:noProof/>
          <w:sz w:val="22"/>
        </w:rPr>
        <w:t>Za vsak specifični cilj poročajte o napredku pri izvajanju programa ter doseganju mejnikov in ciljev iz programa, pri čemer upoštevajte najnovejše podatke za obračunsko leto, kot zahteva člen 42 Uredbe (EU) 2021/1060. To se nanaša na kumulativne podatke, predložene do 31. julija v letu pred letom predložitve poročila.</w:t>
      </w:r>
    </w:p>
    <w:p w14:paraId="7DF54513" w14:textId="77777777" w:rsidR="0087657F" w:rsidRPr="00BA2F00" w:rsidRDefault="0087657F" w:rsidP="001E3DE5">
      <w:pPr>
        <w:rPr>
          <w:noProof/>
          <w:sz w:val="22"/>
        </w:rPr>
      </w:pPr>
      <w:r w:rsidRPr="00BA2F00">
        <w:rPr>
          <w:noProof/>
          <w:sz w:val="22"/>
        </w:rPr>
        <w:t xml:space="preserve">V okviru vsakega specifičnega cilja bi morale biti informacije o napredku po možnosti strukturirane po izvedbenih ukrepih, okvirnih ukrepih in želenih rezultatih, opredeljenih v programu. </w:t>
      </w:r>
    </w:p>
    <w:p w14:paraId="4567D905" w14:textId="77777777" w:rsidR="0087657F" w:rsidRPr="00BA2F00" w:rsidRDefault="00A002B3" w:rsidP="001E3DE5">
      <w:pPr>
        <w:rPr>
          <w:noProof/>
          <w:sz w:val="22"/>
        </w:rPr>
      </w:pPr>
      <w:r w:rsidRPr="00BA2F00">
        <w:rPr>
          <w:noProof/>
          <w:sz w:val="22"/>
        </w:rPr>
        <w:t>Opišite tudi vse sprejete ukrepe in zadevne dejavnosti v zvezi z izvajanjem partnerstva v skladu s členom 8(2) Uredbe (EU) 2021/1060.</w:t>
      </w:r>
    </w:p>
    <w:tbl>
      <w:tblPr>
        <w:tblStyle w:val="Tabelamrea"/>
        <w:tblW w:w="0" w:type="auto"/>
        <w:tblLook w:val="04A0" w:firstRow="1" w:lastRow="0" w:firstColumn="1" w:lastColumn="0" w:noHBand="0" w:noVBand="1"/>
      </w:tblPr>
      <w:tblGrid>
        <w:gridCol w:w="9063"/>
      </w:tblGrid>
      <w:tr w:rsidR="00BA2F00" w:rsidRPr="00BA2F00" w14:paraId="07F1E399" w14:textId="77777777" w:rsidTr="00595FD6">
        <w:tc>
          <w:tcPr>
            <w:tcW w:w="9289" w:type="dxa"/>
          </w:tcPr>
          <w:p w14:paraId="78F711B2" w14:textId="5EB0DCB4" w:rsidR="00C36431" w:rsidRPr="00BA2F00" w:rsidRDefault="00C36431" w:rsidP="00C36431">
            <w:pPr>
              <w:pStyle w:val="Personnequisigne"/>
              <w:jc w:val="both"/>
              <w:rPr>
                <w:i w:val="0"/>
                <w:sz w:val="22"/>
              </w:rPr>
            </w:pPr>
            <w:r w:rsidRPr="00BA2F00">
              <w:rPr>
                <w:i w:val="0"/>
                <w:sz w:val="22"/>
              </w:rPr>
              <w:t>Slovenija je v obračunskem obdobju od 1.</w:t>
            </w:r>
            <w:r w:rsidR="00144E44" w:rsidRPr="00BA2F00">
              <w:rPr>
                <w:i w:val="0"/>
                <w:sz w:val="22"/>
              </w:rPr>
              <w:t> </w:t>
            </w:r>
            <w:r w:rsidRPr="00BA2F00">
              <w:rPr>
                <w:i w:val="0"/>
                <w:sz w:val="22"/>
              </w:rPr>
              <w:t>7.</w:t>
            </w:r>
            <w:r w:rsidR="00144E44" w:rsidRPr="00BA2F00">
              <w:rPr>
                <w:i w:val="0"/>
                <w:sz w:val="22"/>
              </w:rPr>
              <w:t> </w:t>
            </w:r>
            <w:r w:rsidRPr="00BA2F00">
              <w:rPr>
                <w:i w:val="0"/>
                <w:sz w:val="22"/>
              </w:rPr>
              <w:t>2024 do 30.</w:t>
            </w:r>
            <w:r w:rsidR="00144E44" w:rsidRPr="00BA2F00">
              <w:rPr>
                <w:i w:val="0"/>
                <w:sz w:val="22"/>
              </w:rPr>
              <w:t> </w:t>
            </w:r>
            <w:r w:rsidRPr="00BA2F00">
              <w:rPr>
                <w:i w:val="0"/>
                <w:sz w:val="22"/>
              </w:rPr>
              <w:t>6.</w:t>
            </w:r>
            <w:r w:rsidR="00144E44" w:rsidRPr="00BA2F00">
              <w:rPr>
                <w:i w:val="0"/>
                <w:sz w:val="22"/>
              </w:rPr>
              <w:t> </w:t>
            </w:r>
            <w:r w:rsidRPr="00BA2F00">
              <w:rPr>
                <w:i w:val="0"/>
                <w:sz w:val="22"/>
              </w:rPr>
              <w:t>2025 izvajala aktivnosti v okviru programa AMIF, s ciljem doseganja ključnih prioritet na področju azila, zakonitih migracij, vračanja ter solidarnosti med državami članicami.</w:t>
            </w:r>
          </w:p>
          <w:p w14:paraId="396ECFFA" w14:textId="77777777" w:rsidR="00C36431" w:rsidRPr="00BA2F00" w:rsidRDefault="00C36431" w:rsidP="00C36431">
            <w:pPr>
              <w:pStyle w:val="Personnequisigne"/>
              <w:jc w:val="both"/>
              <w:rPr>
                <w:i w:val="0"/>
                <w:sz w:val="22"/>
              </w:rPr>
            </w:pPr>
          </w:p>
          <w:p w14:paraId="6B2D7C77" w14:textId="7483856F" w:rsidR="00C36431" w:rsidRPr="00BA2F00" w:rsidRDefault="00C36431" w:rsidP="00C36431">
            <w:pPr>
              <w:pStyle w:val="Personnequisigne"/>
              <w:jc w:val="both"/>
              <w:rPr>
                <w:i w:val="0"/>
                <w:sz w:val="22"/>
              </w:rPr>
            </w:pPr>
            <w:r w:rsidRPr="00BA2F00">
              <w:rPr>
                <w:i w:val="0"/>
                <w:sz w:val="22"/>
              </w:rPr>
              <w:t>Informacijski sistem MIGRA III za izmenjav</w:t>
            </w:r>
            <w:r w:rsidR="00144E44" w:rsidRPr="00BA2F00">
              <w:rPr>
                <w:i w:val="0"/>
                <w:sz w:val="22"/>
              </w:rPr>
              <w:t>o</w:t>
            </w:r>
            <w:r w:rsidRPr="00BA2F00">
              <w:rPr>
                <w:i w:val="0"/>
                <w:sz w:val="22"/>
              </w:rPr>
              <w:t xml:space="preserve"> informacij med OU in upravičenci, </w:t>
            </w:r>
            <w:proofErr w:type="spellStart"/>
            <w:r w:rsidRPr="00BA2F00">
              <w:rPr>
                <w:i w:val="0"/>
                <w:sz w:val="22"/>
              </w:rPr>
              <w:t>t.j</w:t>
            </w:r>
            <w:proofErr w:type="spellEnd"/>
            <w:r w:rsidRPr="00BA2F00">
              <w:rPr>
                <w:i w:val="0"/>
                <w:sz w:val="22"/>
              </w:rPr>
              <w:t xml:space="preserve">. oddaja prijav operacij, poročanje o izvajanju operacij, je bil v skladu s potrebami redno nadgrajevan. </w:t>
            </w:r>
          </w:p>
          <w:p w14:paraId="4B0CC87B" w14:textId="77777777" w:rsidR="00C36431" w:rsidRPr="00BA2F00" w:rsidRDefault="00C36431" w:rsidP="00C36431">
            <w:pPr>
              <w:pStyle w:val="Personnequisigne"/>
              <w:jc w:val="both"/>
              <w:rPr>
                <w:i w:val="0"/>
                <w:sz w:val="22"/>
              </w:rPr>
            </w:pPr>
          </w:p>
          <w:p w14:paraId="4473FC36" w14:textId="77777777" w:rsidR="00C36431" w:rsidRPr="00BA2F00" w:rsidRDefault="00C36431" w:rsidP="00C36431">
            <w:pPr>
              <w:pStyle w:val="Personnequisigne"/>
              <w:jc w:val="both"/>
              <w:rPr>
                <w:i w:val="0"/>
                <w:noProof/>
                <w:sz w:val="22"/>
              </w:rPr>
            </w:pPr>
            <w:r w:rsidRPr="00BA2F00">
              <w:rPr>
                <w:i w:val="0"/>
                <w:sz w:val="22"/>
              </w:rPr>
              <w:t>Akcijski načrt za program AMIF, ki predstavlja dodelitev vseh finančnih sredstev upravičenem,</w:t>
            </w:r>
            <w:r w:rsidRPr="00BA2F00">
              <w:rPr>
                <w:i w:val="0"/>
                <w:noProof/>
                <w:sz w:val="22"/>
              </w:rPr>
              <w:t xml:space="preserve"> je bil posodobljen dvakrat, spremembe je potrdil odbor za spremljanje. Prvič za uskladitev vrednosti realizacije projektov za 2024, drugič zaradi povečanja vrednosti projektov v skladu s programom. OU je </w:t>
            </w:r>
            <w:r w:rsidRPr="00BA2F00">
              <w:rPr>
                <w:i w:val="0"/>
                <w:sz w:val="22"/>
              </w:rPr>
              <w:t>nadaljeval z odobritvijo operacij; izvajalo se jih je 40</w:t>
            </w:r>
            <w:r w:rsidRPr="00BA2F00">
              <w:rPr>
                <w:i w:val="0"/>
                <w:noProof/>
                <w:sz w:val="22"/>
              </w:rPr>
              <w:t xml:space="preserve"> od načrtovanih 44.</w:t>
            </w:r>
          </w:p>
          <w:p w14:paraId="309F822E" w14:textId="77777777" w:rsidR="00C36431" w:rsidRPr="00BA2F00" w:rsidRDefault="00C36431" w:rsidP="00C36431">
            <w:pPr>
              <w:pStyle w:val="Personnequisigne"/>
              <w:jc w:val="both"/>
              <w:rPr>
                <w:i w:val="0"/>
                <w:sz w:val="22"/>
              </w:rPr>
            </w:pPr>
          </w:p>
          <w:p w14:paraId="7251DB07" w14:textId="77777777" w:rsidR="00C36431" w:rsidRPr="00BA2F00" w:rsidRDefault="00C36431" w:rsidP="00C36431">
            <w:pPr>
              <w:pStyle w:val="Personnequisigne"/>
              <w:jc w:val="both"/>
              <w:rPr>
                <w:i w:val="0"/>
                <w:sz w:val="22"/>
              </w:rPr>
            </w:pPr>
            <w:r w:rsidRPr="00BA2F00">
              <w:rPr>
                <w:i w:val="0"/>
                <w:sz w:val="22"/>
              </w:rPr>
              <w:t>V okviru</w:t>
            </w:r>
            <w:r w:rsidRPr="00BA2F00">
              <w:rPr>
                <w:b/>
                <w:i w:val="0"/>
                <w:sz w:val="22"/>
              </w:rPr>
              <w:t xml:space="preserve"> Specifičnega cilja 1 </w:t>
            </w:r>
            <w:r w:rsidRPr="00BA2F00">
              <w:rPr>
                <w:i w:val="0"/>
                <w:sz w:val="22"/>
              </w:rPr>
              <w:t>so se izvajale aktivnosti za okrepitev skupnega evropskega azilnega sistema. Vsi vlagatelji namere za podajo prošnje za mednarodno zaščito (MZ) so bili informirani o pravicah in dolžnostih ter pravilih bivanja v azilnem domu (</w:t>
            </w:r>
            <w:r w:rsidRPr="00BA2F00">
              <w:rPr>
                <w:b/>
                <w:i w:val="0"/>
                <w:sz w:val="22"/>
              </w:rPr>
              <w:t>izvedbeni ukrep 1a).</w:t>
            </w:r>
            <w:r w:rsidRPr="00BA2F00">
              <w:rPr>
                <w:i w:val="0"/>
                <w:sz w:val="22"/>
              </w:rPr>
              <w:t xml:space="preserve"> Postopki za MZ kot tudi postopki vračanja v državo izvora ali državo pristojno za obravnavo prošnje - dublinski postopki, so potekali v jeziku razumljivem prosilcu. Prosilcem je bilo v postopkih pred sodišči zagotovljeno zastopanje. Mladoletnim prosilcem smo, tekom postopka za MZ, zagotavljali zakonite zastopnike za podporo na področju zdravstva, šolstva, nastanitve itd. Osebam v postopku po Uredbi 604/2013/EU in osebam v postopku vračanja je bilo v času predaje zagotovljeno spremstvo. Zagotavljala so se usposabljanja za osebje, ki sodelujejo v postopkih MZ.</w:t>
            </w:r>
          </w:p>
          <w:p w14:paraId="494C7DD9" w14:textId="77777777" w:rsidR="00C36431" w:rsidRPr="00BA2F00" w:rsidRDefault="00C36431" w:rsidP="00C36431">
            <w:pPr>
              <w:pStyle w:val="Personnequisigne"/>
              <w:jc w:val="both"/>
              <w:rPr>
                <w:i w:val="0"/>
                <w:sz w:val="22"/>
              </w:rPr>
            </w:pPr>
          </w:p>
          <w:p w14:paraId="1684D3AA" w14:textId="728D4596" w:rsidR="00C36431" w:rsidRPr="00BA2F00" w:rsidRDefault="00C36431" w:rsidP="00C36431">
            <w:pPr>
              <w:pStyle w:val="Personnequisigne"/>
              <w:jc w:val="both"/>
              <w:rPr>
                <w:i w:val="0"/>
                <w:sz w:val="22"/>
              </w:rPr>
            </w:pPr>
            <w:r w:rsidRPr="00BA2F00">
              <w:rPr>
                <w:i w:val="0"/>
                <w:sz w:val="22"/>
              </w:rPr>
              <w:t xml:space="preserve">Znotraj </w:t>
            </w:r>
            <w:r w:rsidRPr="00BA2F00">
              <w:rPr>
                <w:b/>
                <w:i w:val="0"/>
                <w:sz w:val="22"/>
              </w:rPr>
              <w:t>izvedbenega ukrepa 1b</w:t>
            </w:r>
            <w:r w:rsidRPr="00BA2F00">
              <w:rPr>
                <w:i w:val="0"/>
                <w:sz w:val="22"/>
              </w:rPr>
              <w:t xml:space="preserve"> so se izvajali zdravstveni in psihosocialni pregledi ob tolmačih za vlagatelje namere za MZ, za opravljanje vzdrževalnih del pa so se izplačevale žepnine in nagrade.  Zasleduje se cilj zagotavljanja učinkovitega uveljavljanja zakonskih pravic za prosilce, ki zaprosijo za mednarodno zaščito, </w:t>
            </w:r>
            <w:r w:rsidR="00144E44" w:rsidRPr="00BA2F00">
              <w:rPr>
                <w:i w:val="0"/>
                <w:sz w:val="22"/>
              </w:rPr>
              <w:t xml:space="preserve">ki </w:t>
            </w:r>
            <w:r w:rsidRPr="00BA2F00">
              <w:rPr>
                <w:i w:val="0"/>
                <w:sz w:val="22"/>
              </w:rPr>
              <w:t>jim omogoča nadstandardno oskrbo in bivalne pogoje. To velja zlasti za ranljive skupine.</w:t>
            </w:r>
            <w:r w:rsidRPr="00BA2F00">
              <w:rPr>
                <w:sz w:val="22"/>
              </w:rPr>
              <w:t xml:space="preserve"> </w:t>
            </w:r>
          </w:p>
          <w:p w14:paraId="00B8CE78" w14:textId="77777777" w:rsidR="00C36431" w:rsidRPr="00BA2F00" w:rsidRDefault="00C36431" w:rsidP="00C36431">
            <w:pPr>
              <w:spacing w:before="0" w:after="0"/>
              <w:rPr>
                <w:sz w:val="22"/>
              </w:rPr>
            </w:pPr>
          </w:p>
          <w:p w14:paraId="4CD57D6D" w14:textId="77777777" w:rsidR="00C36431" w:rsidRPr="00BA2F00" w:rsidRDefault="00C36431" w:rsidP="00C36431">
            <w:pPr>
              <w:pStyle w:val="Institutionquisigne"/>
              <w:spacing w:before="0"/>
              <w:rPr>
                <w:i w:val="0"/>
                <w:sz w:val="22"/>
              </w:rPr>
            </w:pPr>
            <w:r w:rsidRPr="00BA2F00">
              <w:rPr>
                <w:i w:val="0"/>
                <w:sz w:val="22"/>
              </w:rPr>
              <w:t xml:space="preserve">V okviru </w:t>
            </w:r>
            <w:r w:rsidRPr="00BA2F00">
              <w:rPr>
                <w:b/>
                <w:bCs/>
                <w:i w:val="0"/>
                <w:sz w:val="22"/>
              </w:rPr>
              <w:t>Specifičnega cilja 2</w:t>
            </w:r>
            <w:r w:rsidRPr="00BA2F00">
              <w:rPr>
                <w:i w:val="0"/>
                <w:sz w:val="22"/>
              </w:rPr>
              <w:t xml:space="preserve"> so se izvajale operacije za podporo zakonitim migracijam in vključevanju. S tem se zasleduje cilj - učinkovita in uspešna integracija oseb z MZ, začasno zaščito in državljanov tretjih držav.</w:t>
            </w:r>
          </w:p>
          <w:p w14:paraId="3539A267" w14:textId="77777777" w:rsidR="00C36431" w:rsidRPr="00BA2F00" w:rsidRDefault="00C36431" w:rsidP="00C36431">
            <w:pPr>
              <w:pStyle w:val="Personnequisigne"/>
              <w:jc w:val="both"/>
            </w:pPr>
          </w:p>
          <w:p w14:paraId="7F182C9F" w14:textId="72DABF38" w:rsidR="00C36431" w:rsidRPr="00BA2F00" w:rsidRDefault="00C36431" w:rsidP="00C36431">
            <w:pPr>
              <w:pStyle w:val="Institutionquisigne"/>
              <w:spacing w:before="0"/>
              <w:rPr>
                <w:i w:val="0"/>
                <w:sz w:val="22"/>
              </w:rPr>
            </w:pPr>
            <w:r w:rsidRPr="00BA2F00">
              <w:rPr>
                <w:i w:val="0"/>
                <w:sz w:val="22"/>
              </w:rPr>
              <w:t>Po vsej Sloveniji se je izvajal program učenja slovenskega jezika in spoznavanja slovenske družbe (Začetna integracija priseljencev -ZIP) ter prvi brezplačni izpiti iz slovenskega jezika na štirih različnih ravneh, kot jih določa program Slovenščina, kot drugi in tuji jezik (</w:t>
            </w:r>
            <w:r w:rsidRPr="00BA2F00">
              <w:rPr>
                <w:b/>
                <w:bCs/>
                <w:i w:val="0"/>
                <w:sz w:val="22"/>
              </w:rPr>
              <w:t>izvedbeni ukrep 2d</w:t>
            </w:r>
            <w:r w:rsidRPr="00BA2F00">
              <w:rPr>
                <w:i w:val="0"/>
                <w:sz w:val="22"/>
              </w:rPr>
              <w:t>). Za državljane tretjih držav z izdanim dovoljenjem za začasno prebivanje zaradi združitve družine, se je izvajalo tudi učenj</w:t>
            </w:r>
            <w:r w:rsidR="00144E44" w:rsidRPr="00BA2F00">
              <w:rPr>
                <w:i w:val="0"/>
                <w:sz w:val="22"/>
              </w:rPr>
              <w:t>e</w:t>
            </w:r>
            <w:r w:rsidRPr="00BA2F00">
              <w:rPr>
                <w:i w:val="0"/>
                <w:sz w:val="22"/>
              </w:rPr>
              <w:t xml:space="preserve"> slovenskega jezika na </w:t>
            </w:r>
            <w:proofErr w:type="spellStart"/>
            <w:r w:rsidRPr="00BA2F00">
              <w:rPr>
                <w:i w:val="0"/>
                <w:sz w:val="22"/>
              </w:rPr>
              <w:t>preživetveni</w:t>
            </w:r>
            <w:proofErr w:type="spellEnd"/>
            <w:r w:rsidRPr="00BA2F00">
              <w:rPr>
                <w:i w:val="0"/>
                <w:sz w:val="22"/>
              </w:rPr>
              <w:t xml:space="preserve"> ravni ter opravljanje prvega brezplačnega izpita. Zaradi razširjenega nabora izvajalcev programov se je 2025 število udeležencev programa ZIP povečalo za 32 %, programa učenja na </w:t>
            </w:r>
            <w:proofErr w:type="spellStart"/>
            <w:r w:rsidRPr="00BA2F00">
              <w:rPr>
                <w:i w:val="0"/>
                <w:sz w:val="22"/>
              </w:rPr>
              <w:t>preživetveni</w:t>
            </w:r>
            <w:proofErr w:type="spellEnd"/>
            <w:r w:rsidRPr="00BA2F00">
              <w:rPr>
                <w:i w:val="0"/>
                <w:sz w:val="22"/>
              </w:rPr>
              <w:t xml:space="preserve"> ravni pa za 235%, število oseb, ki so opravljale preizkus znanja, pa za 35%. </w:t>
            </w:r>
          </w:p>
          <w:p w14:paraId="5D74BC7B" w14:textId="77777777" w:rsidR="00C36431" w:rsidRPr="00BA2F00" w:rsidRDefault="00C36431" w:rsidP="00C36431">
            <w:pPr>
              <w:pStyle w:val="Personnequisigne"/>
              <w:jc w:val="both"/>
              <w:rPr>
                <w:i w:val="0"/>
                <w:sz w:val="22"/>
                <w:u w:val="single"/>
              </w:rPr>
            </w:pPr>
          </w:p>
          <w:p w14:paraId="626FAA1A" w14:textId="77777777" w:rsidR="00C36431" w:rsidRPr="00BA2F00" w:rsidRDefault="00C36431" w:rsidP="00C36431">
            <w:pPr>
              <w:pStyle w:val="Institutionquisigne"/>
              <w:spacing w:before="0"/>
              <w:rPr>
                <w:sz w:val="22"/>
              </w:rPr>
            </w:pPr>
            <w:r w:rsidRPr="00BA2F00">
              <w:rPr>
                <w:i w:val="0"/>
                <w:sz w:val="22"/>
              </w:rPr>
              <w:t>Izvajale so se tudi druge aktivnosti za pomoč pri integraciji: urejanje življenjskih situacij, tečaj spoznavanja slovenske družbe, učna pomoč, kulturne in športne aktivnosti. Vzpostavilo se je informacijsko središče za tujce, ki zagotavlja informacije in predstavlja pot do one-</w:t>
            </w:r>
            <w:proofErr w:type="spellStart"/>
            <w:r w:rsidRPr="00BA2F00">
              <w:rPr>
                <w:i w:val="0"/>
                <w:sz w:val="22"/>
              </w:rPr>
              <w:t>shop</w:t>
            </w:r>
            <w:proofErr w:type="spellEnd"/>
            <w:r w:rsidRPr="00BA2F00">
              <w:rPr>
                <w:i w:val="0"/>
                <w:sz w:val="22"/>
              </w:rPr>
              <w:t xml:space="preserve"> točk. Izvajal se je projekt ozaveščanja družbe o emigrantski problematiki. Zaradi neuspelih javnih razpisov so se določene operacije na področju pomoči osebam z MZ ter tujcem pričele izvajati kasneje ali se še niso, preostala sredstva so se preusmerjala v učenje slovenskega jezika, kar je temelj za integracijo. </w:t>
            </w:r>
          </w:p>
          <w:p w14:paraId="70DD851A" w14:textId="77777777" w:rsidR="00C36431" w:rsidRPr="00BA2F00" w:rsidRDefault="00C36431" w:rsidP="00C36431">
            <w:pPr>
              <w:pStyle w:val="Personnequisigne"/>
              <w:jc w:val="both"/>
              <w:rPr>
                <w:i w:val="0"/>
                <w:sz w:val="22"/>
              </w:rPr>
            </w:pPr>
          </w:p>
          <w:p w14:paraId="7D483898" w14:textId="77777777" w:rsidR="00C36431" w:rsidRPr="00BA2F00" w:rsidRDefault="00C36431" w:rsidP="00C36431">
            <w:pPr>
              <w:pStyle w:val="Personnequisigne"/>
              <w:jc w:val="both"/>
              <w:rPr>
                <w:i w:val="0"/>
                <w:sz w:val="22"/>
              </w:rPr>
            </w:pPr>
          </w:p>
          <w:p w14:paraId="56B00CB0" w14:textId="77777777" w:rsidR="00C36431" w:rsidRPr="00BA2F00" w:rsidRDefault="00C36431" w:rsidP="00C36431">
            <w:pPr>
              <w:spacing w:before="0" w:after="0"/>
              <w:rPr>
                <w:sz w:val="22"/>
              </w:rPr>
            </w:pPr>
            <w:r w:rsidRPr="00BA2F00">
              <w:rPr>
                <w:sz w:val="22"/>
              </w:rPr>
              <w:t xml:space="preserve">V okviru </w:t>
            </w:r>
            <w:r w:rsidRPr="00BA2F00">
              <w:rPr>
                <w:b/>
                <w:sz w:val="22"/>
              </w:rPr>
              <w:t>Specifičnega cilja 3</w:t>
            </w:r>
            <w:r w:rsidRPr="00BA2F00">
              <w:rPr>
                <w:sz w:val="22"/>
              </w:rPr>
              <w:t xml:space="preserve"> so se kontinuirano izvajale operacije za boj proti nedovoljenim migracijam, a je bila stopnja finančne realizacije nižja od načrtovanega, zaradi uporabe drugih virov financiranja (zlasti na področju prisilnih vračanj), zamika prenove Centra za tujce (CT) ter zgodnja faza priprave in implementacije IT nadgradenj, pri katerih se finančni učinki pričakujejo v kasnejših fazah izvajanja. Ukrepi prostovoljnega vračanja so se izvajali v skladu s predvidenim. </w:t>
            </w:r>
          </w:p>
          <w:p w14:paraId="3AE3A450" w14:textId="77777777" w:rsidR="00C36431" w:rsidRPr="00BA2F00" w:rsidRDefault="00C36431" w:rsidP="00C36431">
            <w:pPr>
              <w:spacing w:before="0" w:after="0"/>
              <w:rPr>
                <w:sz w:val="22"/>
              </w:rPr>
            </w:pPr>
          </w:p>
          <w:p w14:paraId="4A236BE0" w14:textId="337EF309" w:rsidR="00C36431" w:rsidRPr="00BA2F00" w:rsidRDefault="00C36431" w:rsidP="00C36431">
            <w:pPr>
              <w:pStyle w:val="Personnequisigne"/>
              <w:jc w:val="both"/>
              <w:rPr>
                <w:i w:val="0"/>
                <w:sz w:val="22"/>
              </w:rPr>
            </w:pPr>
            <w:r w:rsidRPr="00BA2F00">
              <w:rPr>
                <w:i w:val="0"/>
                <w:sz w:val="22"/>
              </w:rPr>
              <w:t>V CT, kjer so nastanjeni tujci brez dovoljenja za bivanje, je bila zagotovljena oskrba na ravni EU standardov in primerov dobrih praks. Financira se higienske pripomočke in strošk</w:t>
            </w:r>
            <w:r w:rsidR="00564F90" w:rsidRPr="00BA2F00">
              <w:rPr>
                <w:i w:val="0"/>
                <w:sz w:val="22"/>
              </w:rPr>
              <w:t>e</w:t>
            </w:r>
            <w:r w:rsidRPr="00BA2F00">
              <w:rPr>
                <w:i w:val="0"/>
                <w:sz w:val="22"/>
              </w:rPr>
              <w:t xml:space="preserve"> delovanja CT. Za prevoz državljanov tretjih držav do letališča, sta kupljeni dve vozili, nadgrajeni za preprečitev pobega oseb v času potovanja (</w:t>
            </w:r>
            <w:r w:rsidRPr="00BA2F00">
              <w:rPr>
                <w:b/>
                <w:i w:val="0"/>
                <w:sz w:val="22"/>
              </w:rPr>
              <w:t>izvedbeni ukrep 3a</w:t>
            </w:r>
            <w:r w:rsidRPr="00BA2F00">
              <w:rPr>
                <w:i w:val="0"/>
                <w:sz w:val="22"/>
              </w:rPr>
              <w:t>).</w:t>
            </w:r>
          </w:p>
          <w:p w14:paraId="4BEE4FE8" w14:textId="77777777" w:rsidR="00C36431" w:rsidRPr="00BA2F00" w:rsidRDefault="00C36431" w:rsidP="00C36431">
            <w:pPr>
              <w:pStyle w:val="Personnequisigne"/>
              <w:jc w:val="both"/>
              <w:rPr>
                <w:sz w:val="22"/>
              </w:rPr>
            </w:pPr>
          </w:p>
          <w:p w14:paraId="107C67D4" w14:textId="77777777" w:rsidR="00C36431" w:rsidRPr="00BA2F00" w:rsidRDefault="00C36431" w:rsidP="00C36431">
            <w:pPr>
              <w:spacing w:before="0" w:after="0"/>
              <w:rPr>
                <w:sz w:val="22"/>
              </w:rPr>
            </w:pPr>
            <w:r w:rsidRPr="00BA2F00">
              <w:rPr>
                <w:sz w:val="22"/>
              </w:rPr>
              <w:t xml:space="preserve">Na področju vračanja so bila financirana kopenska in letalska vračanja tujcev v matične države. Letalska vračanja so se izvajala ob podpori </w:t>
            </w:r>
            <w:proofErr w:type="spellStart"/>
            <w:r w:rsidRPr="00BA2F00">
              <w:rPr>
                <w:sz w:val="22"/>
              </w:rPr>
              <w:t>Frontexa</w:t>
            </w:r>
            <w:proofErr w:type="spellEnd"/>
            <w:r w:rsidRPr="00BA2F00">
              <w:rPr>
                <w:sz w:val="22"/>
              </w:rPr>
              <w:t>, ki je prek aplikacije FAR zagotavljal podporo pri nakupu letalskih vozovnic, medtem ko je Slovenija kopenska vračanja organizirala samostojno. Če je komercialni let predstavljal varnostno tveganje, je bil uporabljen zasebni letalski prevoznik.</w:t>
            </w:r>
          </w:p>
          <w:p w14:paraId="0FA7DCC0" w14:textId="77777777" w:rsidR="00C36431" w:rsidRPr="00BA2F00" w:rsidRDefault="00C36431" w:rsidP="00C36431">
            <w:pPr>
              <w:spacing w:before="0" w:after="0"/>
              <w:rPr>
                <w:sz w:val="22"/>
              </w:rPr>
            </w:pPr>
          </w:p>
          <w:p w14:paraId="35CC7616" w14:textId="77777777" w:rsidR="00C36431" w:rsidRPr="00BA2F00" w:rsidRDefault="00C36431" w:rsidP="00C36431">
            <w:pPr>
              <w:spacing w:before="0" w:after="0"/>
              <w:rPr>
                <w:sz w:val="22"/>
              </w:rPr>
            </w:pPr>
            <w:r w:rsidRPr="00BA2F00">
              <w:rPr>
                <w:sz w:val="22"/>
              </w:rPr>
              <w:t xml:space="preserve">Osebam v postopku vračanja so bile zagotovljene zdravstvene, psihosocialne in administrativne storitve ter podpora pri pridobivanju identifikacijskih dokumentov. Operativno sodelovanje s konzularnimi predstavništvi držav izvora, </w:t>
            </w:r>
            <w:proofErr w:type="spellStart"/>
            <w:r w:rsidRPr="00BA2F00">
              <w:rPr>
                <w:sz w:val="22"/>
              </w:rPr>
              <w:t>Frontexom</w:t>
            </w:r>
            <w:proofErr w:type="spellEnd"/>
            <w:r w:rsidRPr="00BA2F00">
              <w:rPr>
                <w:sz w:val="22"/>
              </w:rPr>
              <w:t xml:space="preserve"> in EMN je potekalo nemoteno. Poleg tega so se izvajala tudi ciljno usmerjena usposabljanja policistov za krepitev strokovne in zakonite izvedbe postopkov vračanja.</w:t>
            </w:r>
          </w:p>
          <w:p w14:paraId="7FDAF6A4" w14:textId="77777777" w:rsidR="00C36431" w:rsidRPr="00BA2F00" w:rsidRDefault="00C36431" w:rsidP="00C36431">
            <w:pPr>
              <w:spacing w:before="0" w:after="0"/>
              <w:rPr>
                <w:sz w:val="22"/>
              </w:rPr>
            </w:pPr>
          </w:p>
          <w:p w14:paraId="0E34EAD1" w14:textId="77777777" w:rsidR="00C36431" w:rsidRPr="00BA2F00" w:rsidRDefault="00C36431" w:rsidP="00C36431">
            <w:pPr>
              <w:spacing w:before="0" w:after="0"/>
              <w:rPr>
                <w:sz w:val="22"/>
              </w:rPr>
            </w:pPr>
            <w:r w:rsidRPr="00BA2F00">
              <w:rPr>
                <w:sz w:val="22"/>
              </w:rPr>
              <w:t xml:space="preserve">V okviru </w:t>
            </w:r>
            <w:r w:rsidRPr="00BA2F00">
              <w:rPr>
                <w:b/>
                <w:bCs/>
                <w:sz w:val="22"/>
              </w:rPr>
              <w:t>ukrepa 3b</w:t>
            </w:r>
            <w:r w:rsidRPr="00BA2F00">
              <w:rPr>
                <w:sz w:val="22"/>
              </w:rPr>
              <w:t xml:space="preserve"> je bil na sistemski ravni dosežen napredek pri nadgradnji IT podpore postopkom vračanja. Delovna skupina za posodobitev sistema RECAMAS je izvedla primerjalno analizo razlik med nacionalnim IT sistemom in modelom Frontex ter pripravila podporno dokumentacijo za nadaljnji razvoj. Izvedeni so bili tudi študijski obiski v Belgiji, na Nizozemskem in Norveškem, s poudarkom na digitalizaciji in avtomatizaciji postopkov vračanja. Aktivnosti so trenutno v fazi tehnične priprave, kar pomeni, da se finančni učinki pričakujejo v naslednjih obdobjih. Predstavnica CT se je tudi udeležila sestanka Schengenske evalvacijske skupine, ki ocenjuje izvajanje pravil prostega gibanja znotraj EU. </w:t>
            </w:r>
          </w:p>
          <w:p w14:paraId="1F210382" w14:textId="77777777" w:rsidR="00C36431" w:rsidRPr="00BA2F00" w:rsidRDefault="00C36431" w:rsidP="00C36431">
            <w:pPr>
              <w:pStyle w:val="Personnequisigne"/>
              <w:jc w:val="both"/>
              <w:rPr>
                <w:sz w:val="22"/>
              </w:rPr>
            </w:pPr>
          </w:p>
          <w:p w14:paraId="509052D0" w14:textId="77777777" w:rsidR="00C36431" w:rsidRPr="00BA2F00" w:rsidRDefault="00C36431" w:rsidP="00C36431">
            <w:pPr>
              <w:spacing w:before="0" w:after="0"/>
              <w:rPr>
                <w:sz w:val="22"/>
              </w:rPr>
            </w:pPr>
            <w:r w:rsidRPr="00BA2F00">
              <w:rPr>
                <w:sz w:val="22"/>
              </w:rPr>
              <w:t xml:space="preserve">V okviru </w:t>
            </w:r>
            <w:r w:rsidRPr="00BA2F00">
              <w:rPr>
                <w:b/>
                <w:bCs/>
                <w:sz w:val="22"/>
              </w:rPr>
              <w:t>ukrepa 3c</w:t>
            </w:r>
            <w:r w:rsidRPr="00BA2F00">
              <w:rPr>
                <w:sz w:val="22"/>
              </w:rPr>
              <w:t xml:space="preserve"> so bila zagotovljena sredstva za prostovoljno vračanje, vlagalo se je v okrepljeno informiranje o tej možnosti.</w:t>
            </w:r>
          </w:p>
          <w:p w14:paraId="4BC5E56E" w14:textId="77777777" w:rsidR="00C36431" w:rsidRPr="00BA2F00" w:rsidRDefault="00C36431" w:rsidP="00C36431">
            <w:pPr>
              <w:spacing w:before="0" w:after="0"/>
              <w:rPr>
                <w:sz w:val="22"/>
              </w:rPr>
            </w:pPr>
          </w:p>
          <w:p w14:paraId="01FF8E12" w14:textId="77777777" w:rsidR="00C36431" w:rsidRPr="00BA2F00" w:rsidRDefault="00C36431" w:rsidP="00C36431">
            <w:pPr>
              <w:spacing w:before="0" w:after="0"/>
              <w:rPr>
                <w:sz w:val="22"/>
              </w:rPr>
            </w:pPr>
            <w:r w:rsidRPr="00BA2F00">
              <w:rPr>
                <w:sz w:val="22"/>
              </w:rPr>
              <w:t>Kljub zamudam pri prenovi CT, ocenjujemo, da je sredstva še vedno mogoče porabiti v predvidenem obdobju. Izvajanje se zato redno spremlja po posameznih ukrepih, finančno načrtovanje pa se po potrebi sproti prilagaja z namenom zagotavljanja pravočasne in učinkovite porabe sredstev.</w:t>
            </w:r>
          </w:p>
          <w:p w14:paraId="43FA0B9A" w14:textId="77777777" w:rsidR="00C36431" w:rsidRPr="00BA2F00" w:rsidRDefault="00C36431" w:rsidP="00C36431">
            <w:pPr>
              <w:pStyle w:val="Personnequisigne"/>
              <w:jc w:val="both"/>
              <w:rPr>
                <w:i w:val="0"/>
                <w:sz w:val="22"/>
              </w:rPr>
            </w:pPr>
          </w:p>
          <w:p w14:paraId="6A9BDC3A" w14:textId="77777777" w:rsidR="00C36431" w:rsidRPr="00BA2F00" w:rsidRDefault="00C36431" w:rsidP="00C36431">
            <w:pPr>
              <w:pStyle w:val="Personnequisigne"/>
              <w:jc w:val="both"/>
              <w:rPr>
                <w:i w:val="0"/>
                <w:sz w:val="22"/>
              </w:rPr>
            </w:pPr>
            <w:r w:rsidRPr="00BA2F00">
              <w:rPr>
                <w:i w:val="0"/>
                <w:sz w:val="22"/>
              </w:rPr>
              <w:t xml:space="preserve">Krepi se sodelovanje s konzularnimi predstavništvi tretjih držav z namenom povečanja zavzetosti pri potrjevanju identitete svojih državljanov in njihovem povratku v domovino </w:t>
            </w:r>
            <w:r w:rsidRPr="00BA2F00">
              <w:rPr>
                <w:b/>
                <w:bCs/>
                <w:i w:val="0"/>
                <w:sz w:val="22"/>
              </w:rPr>
              <w:t>(izvedbeni ukrep 3d)</w:t>
            </w:r>
            <w:r w:rsidRPr="00BA2F00">
              <w:rPr>
                <w:i w:val="0"/>
                <w:sz w:val="22"/>
              </w:rPr>
              <w:t xml:space="preserve">. </w:t>
            </w:r>
          </w:p>
          <w:p w14:paraId="785C8046" w14:textId="77777777" w:rsidR="00C36431" w:rsidRPr="00BA2F00" w:rsidRDefault="00C36431" w:rsidP="00C36431">
            <w:pPr>
              <w:pStyle w:val="Personnequisigne"/>
              <w:jc w:val="both"/>
              <w:rPr>
                <w:i w:val="0"/>
                <w:sz w:val="22"/>
              </w:rPr>
            </w:pPr>
          </w:p>
          <w:p w14:paraId="0FB1EA27" w14:textId="77777777" w:rsidR="00C36431" w:rsidRPr="00BA2F00" w:rsidRDefault="00C36431" w:rsidP="00C36431">
            <w:pPr>
              <w:pStyle w:val="Personnequisigne"/>
              <w:jc w:val="both"/>
              <w:rPr>
                <w:i w:val="0"/>
                <w:sz w:val="22"/>
              </w:rPr>
            </w:pPr>
            <w:r w:rsidRPr="00BA2F00">
              <w:rPr>
                <w:b/>
                <w:i w:val="0"/>
                <w:sz w:val="22"/>
              </w:rPr>
              <w:t>Specifični cilj 4</w:t>
            </w:r>
            <w:r w:rsidRPr="00BA2F00">
              <w:rPr>
                <w:i w:val="0"/>
                <w:sz w:val="22"/>
              </w:rPr>
              <w:t>:</w:t>
            </w:r>
            <w:r w:rsidRPr="00BA2F00">
              <w:rPr>
                <w:i w:val="0"/>
                <w:noProof/>
                <w:sz w:val="22"/>
              </w:rPr>
              <w:t xml:space="preserve"> </w:t>
            </w:r>
            <w:r w:rsidRPr="00BA2F00">
              <w:rPr>
                <w:i w:val="0"/>
                <w:sz w:val="22"/>
              </w:rPr>
              <w:t xml:space="preserve">Slovenija je vzpostavila svoje prednostne cilje in zakonski okvir s sprejetjem Zakona o mednarodni zaščiti in podzakonskih predpisov. Skladno s tem se bodo izvajali ukrepi 4a in 4b iz Priloge II. V letu 2021 smo izvedli premestitev 5 oseb iz Italije. Poleg tega je bilo v letu 2023 trajno preseljenih 23 oseb iz Turčije. V obdobju poročanja ni bilo novih preselitev, premestitev ali zavez. </w:t>
            </w:r>
          </w:p>
          <w:p w14:paraId="3770A339" w14:textId="77777777" w:rsidR="00C36431" w:rsidRPr="00BA2F00" w:rsidRDefault="00C36431" w:rsidP="00C36431">
            <w:pPr>
              <w:pStyle w:val="Personnequisigne"/>
              <w:jc w:val="both"/>
              <w:rPr>
                <w:i w:val="0"/>
                <w:iCs/>
                <w:sz w:val="22"/>
              </w:rPr>
            </w:pPr>
          </w:p>
          <w:p w14:paraId="77329F5D" w14:textId="77777777" w:rsidR="00C36431" w:rsidRPr="00BA2F00" w:rsidRDefault="00C36431" w:rsidP="00C36431">
            <w:pPr>
              <w:rPr>
                <w:iCs/>
              </w:rPr>
            </w:pPr>
            <w:r w:rsidRPr="00BA2F00">
              <w:rPr>
                <w:iCs/>
                <w:sz w:val="22"/>
              </w:rPr>
              <w:t xml:space="preserve">EU je z novimi pravili vzpostavila skupen sistem upravljanja migracij in azila. Prosilci za mednarodno zaščito v Sloveniji že uživajo visoko raven pravic, vendar država prepoznava določene praktične vrzeli, ki jih namerava odpraviti. V obdobju poročanja se je Slovenija intenzivno pripravljala na izvajanje nove zakonodaje, zlasti z nacionalnimi programi in prilagoditvijo pravnega okvira, ki posega na področja mednarodne zaščite, tujcev, policije, nadzora meje, pravosodja, zaposlovanja, izobraževanja, skrbništva in varstva osebnih podatkov. Načrtuje se nadgradnja obstoječih in vzpostavitev novih procesov, kot so upravljanje migracij in azila, neodvisni nadzorni mehanizem ter postopki ugotavljanja ranljivosti in starosti mladoletnikov brez spremstva. Hkrati poteka razvoj postopkov za delo Policije in Direktorata za migracije v skladu z uredbo </w:t>
            </w:r>
            <w:proofErr w:type="spellStart"/>
            <w:r w:rsidRPr="00BA2F00">
              <w:rPr>
                <w:iCs/>
                <w:sz w:val="22"/>
              </w:rPr>
              <w:t>Eurodac</w:t>
            </w:r>
            <w:proofErr w:type="spellEnd"/>
            <w:r w:rsidRPr="00BA2F00">
              <w:rPr>
                <w:iCs/>
                <w:sz w:val="22"/>
              </w:rPr>
              <w:t>, kjer se načrtuje nadgradnja za elektronsko izmenjavo podatkov ter tehnična integracija v nacionalno IT okolje. Zaradi novih obveznosti so predvidene kadrovske okrepitve, usposabljanja in infrastrukturne prilagoditve.</w:t>
            </w:r>
          </w:p>
          <w:p w14:paraId="3C363DE9" w14:textId="56F7BC13" w:rsidR="00084B29" w:rsidRPr="00BA2F00" w:rsidRDefault="00084B29" w:rsidP="00431554">
            <w:pPr>
              <w:pStyle w:val="Personnequisigne"/>
              <w:jc w:val="both"/>
              <w:rPr>
                <w:i w:val="0"/>
                <w:sz w:val="22"/>
              </w:rPr>
            </w:pPr>
          </w:p>
        </w:tc>
      </w:tr>
    </w:tbl>
    <w:p w14:paraId="65B510CA" w14:textId="77777777" w:rsidR="0087657F" w:rsidRPr="00BA2F00" w:rsidRDefault="00CF7D3B" w:rsidP="001E3DE5">
      <w:pPr>
        <w:pStyle w:val="ManualHeading2"/>
        <w:rPr>
          <w:noProof/>
          <w:sz w:val="22"/>
        </w:rPr>
      </w:pPr>
      <w:r w:rsidRPr="00BA2F00">
        <w:rPr>
          <w:sz w:val="22"/>
        </w:rPr>
        <w:t>1.2.</w:t>
      </w:r>
      <w:r w:rsidRPr="00BA2F00">
        <w:rPr>
          <w:sz w:val="22"/>
        </w:rPr>
        <w:tab/>
      </w:r>
      <w:r w:rsidR="0087657F" w:rsidRPr="00BA2F00">
        <w:rPr>
          <w:noProof/>
          <w:sz w:val="22"/>
        </w:rPr>
        <w:t>Vprašanja, ki vplivajo na smotrnost – člen 35(2), točka (b), Uredbe (EU) 2021/1147</w:t>
      </w:r>
    </w:p>
    <w:p w14:paraId="6E51F5AA" w14:textId="77777777" w:rsidR="0087657F" w:rsidRPr="00BA2F00" w:rsidRDefault="0087657F" w:rsidP="001E3DE5">
      <w:pPr>
        <w:rPr>
          <w:noProof/>
          <w:sz w:val="22"/>
        </w:rPr>
      </w:pPr>
      <w:r w:rsidRPr="00BA2F00">
        <w:rPr>
          <w:noProof/>
          <w:sz w:val="22"/>
        </w:rPr>
        <w:t xml:space="preserve">Za vsak specifični cilj opišite morebitna vprašanja, ki vplivajo na smotrnost programa med obračunskim letom, in morebitne ukrepe, sprejete za njihovo obravnavo. </w:t>
      </w:r>
    </w:p>
    <w:p w14:paraId="594A6441" w14:textId="77777777" w:rsidR="0087657F" w:rsidRPr="00BA2F00" w:rsidRDefault="0087657F" w:rsidP="001E3DE5">
      <w:pPr>
        <w:rPr>
          <w:noProof/>
          <w:sz w:val="22"/>
        </w:rPr>
      </w:pPr>
      <w:r w:rsidRPr="00BA2F00">
        <w:rPr>
          <w:noProof/>
          <w:sz w:val="22"/>
        </w:rPr>
        <w:t>Kadar koli je to mogoče in ustrezno, razlikujte med vprašanji, povezanimi z:</w:t>
      </w:r>
    </w:p>
    <w:p w14:paraId="15F5083A" w14:textId="77777777" w:rsidR="0087657F" w:rsidRPr="00BA2F00" w:rsidRDefault="0087657F" w:rsidP="001E3DE5">
      <w:pPr>
        <w:pStyle w:val="Tiret0"/>
        <w:numPr>
          <w:ilvl w:val="0"/>
          <w:numId w:val="10"/>
        </w:numPr>
        <w:rPr>
          <w:noProof/>
          <w:sz w:val="22"/>
        </w:rPr>
      </w:pPr>
      <w:r w:rsidRPr="00BA2F00">
        <w:rPr>
          <w:noProof/>
          <w:sz w:val="22"/>
        </w:rPr>
        <w:t>nezadostnim poročanjem o dosežkih</w:t>
      </w:r>
      <w:r w:rsidRPr="00BA2F00">
        <w:rPr>
          <w:rStyle w:val="Sprotnaopomba-sklic"/>
          <w:noProof/>
          <w:sz w:val="22"/>
        </w:rPr>
        <w:footnoteReference w:id="2"/>
      </w:r>
      <w:r w:rsidRPr="00BA2F00">
        <w:rPr>
          <w:noProof/>
          <w:sz w:val="22"/>
        </w:rPr>
        <w:t>,</w:t>
      </w:r>
    </w:p>
    <w:p w14:paraId="74496126" w14:textId="77777777" w:rsidR="0087657F" w:rsidRPr="00BA2F00" w:rsidRDefault="0087657F" w:rsidP="001E3DE5">
      <w:pPr>
        <w:pStyle w:val="Tiret0"/>
        <w:rPr>
          <w:noProof/>
          <w:sz w:val="22"/>
        </w:rPr>
      </w:pPr>
      <w:r w:rsidRPr="00BA2F00">
        <w:rPr>
          <w:noProof/>
          <w:sz w:val="22"/>
        </w:rPr>
        <w:t>določanjem ciljev</w:t>
      </w:r>
      <w:r w:rsidRPr="00BA2F00">
        <w:rPr>
          <w:rStyle w:val="Sprotnaopomba-sklic"/>
          <w:noProof/>
          <w:sz w:val="22"/>
        </w:rPr>
        <w:footnoteReference w:id="3"/>
      </w:r>
      <w:r w:rsidRPr="00BA2F00">
        <w:rPr>
          <w:noProof/>
          <w:sz w:val="22"/>
        </w:rPr>
        <w:t>,</w:t>
      </w:r>
    </w:p>
    <w:p w14:paraId="3E20E4F8" w14:textId="77777777" w:rsidR="0087657F" w:rsidRPr="00BA2F00" w:rsidRDefault="0087657F" w:rsidP="001E3DE5">
      <w:pPr>
        <w:pStyle w:val="Tiret0"/>
        <w:rPr>
          <w:noProof/>
          <w:sz w:val="22"/>
        </w:rPr>
      </w:pPr>
      <w:r w:rsidRPr="00BA2F00">
        <w:rPr>
          <w:noProof/>
          <w:sz w:val="22"/>
        </w:rPr>
        <w:t>postopkovnimi zamudami in upravnimi zmogljivostmi</w:t>
      </w:r>
      <w:r w:rsidRPr="00BA2F00">
        <w:rPr>
          <w:rStyle w:val="Sprotnaopomba-sklic"/>
          <w:noProof/>
          <w:sz w:val="22"/>
        </w:rPr>
        <w:footnoteReference w:id="4"/>
      </w:r>
      <w:r w:rsidRPr="00BA2F00">
        <w:rPr>
          <w:noProof/>
          <w:sz w:val="22"/>
        </w:rPr>
        <w:t>,</w:t>
      </w:r>
    </w:p>
    <w:p w14:paraId="0EFCC2CE" w14:textId="77777777" w:rsidR="00515026" w:rsidRPr="00BA2F00" w:rsidRDefault="0087657F" w:rsidP="001E3DE5">
      <w:pPr>
        <w:pStyle w:val="Tiret0"/>
        <w:rPr>
          <w:noProof/>
          <w:sz w:val="22"/>
        </w:rPr>
      </w:pPr>
      <w:r w:rsidRPr="00BA2F00">
        <w:rPr>
          <w:noProof/>
          <w:sz w:val="22"/>
        </w:rPr>
        <w:t>kontekstualnimi spremembami</w:t>
      </w:r>
      <w:r w:rsidRPr="00BA2F00">
        <w:rPr>
          <w:rStyle w:val="Sprotnaopomba-sklic"/>
          <w:noProof/>
          <w:sz w:val="22"/>
        </w:rPr>
        <w:footnoteReference w:id="5"/>
      </w:r>
      <w:r w:rsidRPr="00BA2F00">
        <w:rPr>
          <w:noProof/>
          <w:sz w:val="22"/>
        </w:rPr>
        <w:t>,</w:t>
      </w:r>
    </w:p>
    <w:p w14:paraId="11CA21F8" w14:textId="77777777" w:rsidR="0087657F" w:rsidRPr="00BA2F00" w:rsidRDefault="0087657F" w:rsidP="001E3DE5">
      <w:pPr>
        <w:pStyle w:val="Tiret0"/>
        <w:rPr>
          <w:noProof/>
          <w:sz w:val="22"/>
        </w:rPr>
      </w:pPr>
      <w:r w:rsidRPr="00BA2F00">
        <w:rPr>
          <w:noProof/>
          <w:sz w:val="22"/>
        </w:rPr>
        <w:t>zasnovo in/ali izvajanjem operacij</w:t>
      </w:r>
      <w:r w:rsidRPr="00BA2F00">
        <w:rPr>
          <w:rStyle w:val="Sprotnaopomba-sklic"/>
          <w:noProof/>
          <w:sz w:val="22"/>
        </w:rPr>
        <w:footnoteReference w:id="6"/>
      </w:r>
      <w:r w:rsidRPr="00BA2F00">
        <w:rPr>
          <w:noProof/>
          <w:sz w:val="22"/>
        </w:rPr>
        <w:t xml:space="preserve">, </w:t>
      </w:r>
    </w:p>
    <w:p w14:paraId="1285E55D" w14:textId="77777777" w:rsidR="0087657F" w:rsidRPr="00BA2F00" w:rsidRDefault="0087657F" w:rsidP="001E3DE5">
      <w:pPr>
        <w:pStyle w:val="Tiret0"/>
        <w:rPr>
          <w:noProof/>
          <w:sz w:val="22"/>
        </w:rPr>
      </w:pPr>
      <w:r w:rsidRPr="00BA2F00">
        <w:rPr>
          <w:noProof/>
          <w:sz w:val="22"/>
        </w:rPr>
        <w:t xml:space="preserve">katero koli drugo zadevo. </w:t>
      </w:r>
    </w:p>
    <w:p w14:paraId="35BCD217" w14:textId="77777777" w:rsidR="0087657F" w:rsidRPr="00BA2F00" w:rsidRDefault="00A002B3" w:rsidP="001E3DE5">
      <w:pPr>
        <w:rPr>
          <w:noProof/>
          <w:sz w:val="22"/>
        </w:rPr>
      </w:pPr>
      <w:r w:rsidRPr="00BA2F00">
        <w:rPr>
          <w:noProof/>
          <w:sz w:val="22"/>
        </w:rPr>
        <w:lastRenderedPageBreak/>
        <w:t>Opišite kakršne koli spremembe strategije ali nacionalnih ciljev ali kakršne koli dejavnike, ki bi lahko privedli do sprememb v prihodnosti, ter prilagoditve, ki so jih navedene spremembe povzročile v ciljih, ocenjenih v skladu z metodologijo za vzpostavitev okvira smotrnosti.</w:t>
      </w:r>
    </w:p>
    <w:p w14:paraId="27D483C4" w14:textId="77777777" w:rsidR="0087657F" w:rsidRPr="00BA2F00" w:rsidRDefault="00A002B3" w:rsidP="001E3DE5">
      <w:pPr>
        <w:rPr>
          <w:noProof/>
          <w:sz w:val="22"/>
        </w:rPr>
      </w:pPr>
      <w:r w:rsidRPr="00BA2F00">
        <w:rPr>
          <w:noProof/>
          <w:sz w:val="22"/>
        </w:rPr>
        <w:t>Vključite informacije o vseh obrazloženih mnenjih Komisije v zvezi s postopki za ugotavljanje kršitev na podlagi člena 258 Pogodbe o delovanju Evropske unije (PDEU), ki so povezana z izvajanjem Sklada.</w:t>
      </w:r>
    </w:p>
    <w:tbl>
      <w:tblPr>
        <w:tblStyle w:val="Tabelamrea"/>
        <w:tblW w:w="0" w:type="auto"/>
        <w:tblLook w:val="04A0" w:firstRow="1" w:lastRow="0" w:firstColumn="1" w:lastColumn="0" w:noHBand="0" w:noVBand="1"/>
      </w:tblPr>
      <w:tblGrid>
        <w:gridCol w:w="9063"/>
      </w:tblGrid>
      <w:tr w:rsidR="000B7914" w:rsidRPr="00BA2F00" w14:paraId="63A7AD21" w14:textId="77777777" w:rsidTr="000B7914">
        <w:tc>
          <w:tcPr>
            <w:tcW w:w="9289" w:type="dxa"/>
          </w:tcPr>
          <w:p w14:paraId="1CECB1C1" w14:textId="1E9A9CFF" w:rsidR="000B7914" w:rsidRPr="00BA2F00" w:rsidRDefault="000B7914" w:rsidP="000B7914">
            <w:pPr>
              <w:spacing w:after="0" w:line="260" w:lineRule="exact"/>
              <w:rPr>
                <w:sz w:val="22"/>
              </w:rPr>
            </w:pPr>
            <w:r w:rsidRPr="00BA2F00">
              <w:rPr>
                <w:sz w:val="22"/>
              </w:rPr>
              <w:t xml:space="preserve">Zaradi poznejše potrditve programa AMIF in posledično začetka izvajanja operacij </w:t>
            </w:r>
            <w:r w:rsidR="00902BA9" w:rsidRPr="00BA2F00">
              <w:rPr>
                <w:sz w:val="22"/>
              </w:rPr>
              <w:t xml:space="preserve">večina zastavljenih vrednosti za mejnike (2024) ni dosežena. Nekatere aktivnosti so se izvedle z uporabo drugih virov financiranja ali pa so se v tem času spremenile potrebe upravičenca. </w:t>
            </w:r>
            <w:r w:rsidR="00540F90" w:rsidRPr="00BA2F00">
              <w:rPr>
                <w:sz w:val="22"/>
              </w:rPr>
              <w:t xml:space="preserve">Tudi sicer </w:t>
            </w:r>
            <w:r w:rsidRPr="00BA2F00">
              <w:rPr>
                <w:sz w:val="22"/>
              </w:rPr>
              <w:t xml:space="preserve">velja, da </w:t>
            </w:r>
            <w:r w:rsidR="00902BA9" w:rsidRPr="00BA2F00">
              <w:rPr>
                <w:sz w:val="22"/>
              </w:rPr>
              <w:t xml:space="preserve">pri </w:t>
            </w:r>
            <w:r w:rsidRPr="00BA2F00">
              <w:rPr>
                <w:sz w:val="22"/>
              </w:rPr>
              <w:t>izvajanj</w:t>
            </w:r>
            <w:r w:rsidR="00902BA9" w:rsidRPr="00BA2F00">
              <w:rPr>
                <w:sz w:val="22"/>
              </w:rPr>
              <w:t>u aktivnosti</w:t>
            </w:r>
            <w:r w:rsidRPr="00BA2F00">
              <w:rPr>
                <w:sz w:val="22"/>
              </w:rPr>
              <w:t xml:space="preserve"> operacij prihaja do zamud, </w:t>
            </w:r>
            <w:r w:rsidR="00902BA9" w:rsidRPr="00BA2F00">
              <w:rPr>
                <w:sz w:val="22"/>
              </w:rPr>
              <w:t>saj</w:t>
            </w:r>
            <w:r w:rsidRPr="00BA2F00">
              <w:rPr>
                <w:sz w:val="22"/>
              </w:rPr>
              <w:t xml:space="preserve"> so upravičenci šele konec 2023 in v začetku 2024 pričeli z izvedbo potrebnih aktivnosti za izpeljavo ustreznih postopkov in/ali postopkov javnih naročil (dobava blaga in storitve ali zaposlitev oseb) in/ali s pripravo dokumentacije za pozive k oddaji vlog na javne razpise, zato so pogodbe podpisane šele konec 2024 ali v začetku 2025. Poleg tega pa se je do konca 2023 koristilo še neporabljena sredstva v okviru programa AMIF 14-20. Do zamud izvajanja nekaterih aktivnosti prihaja tudi zaradi sprememb, ki so posledica</w:t>
            </w:r>
            <w:r w:rsidR="00DB0A74" w:rsidRPr="00BA2F00">
              <w:rPr>
                <w:sz w:val="22"/>
              </w:rPr>
              <w:t xml:space="preserve"> načrtovanja</w:t>
            </w:r>
            <w:r w:rsidRPr="00BA2F00">
              <w:rPr>
                <w:sz w:val="22"/>
              </w:rPr>
              <w:t xml:space="preserve"> implementacije Pakta o migracijah in azilu.</w:t>
            </w:r>
          </w:p>
          <w:p w14:paraId="2A1B31A2" w14:textId="2299D111" w:rsidR="000B7914" w:rsidRPr="00BA2F00" w:rsidRDefault="000B7914" w:rsidP="000B7914">
            <w:pPr>
              <w:spacing w:after="0" w:line="260" w:lineRule="exact"/>
              <w:rPr>
                <w:sz w:val="22"/>
              </w:rPr>
            </w:pPr>
            <w:r w:rsidRPr="00BA2F00">
              <w:rPr>
                <w:sz w:val="22"/>
              </w:rPr>
              <w:t>OU</w:t>
            </w:r>
            <w:r w:rsidR="00540F90" w:rsidRPr="00BA2F00">
              <w:rPr>
                <w:sz w:val="22"/>
              </w:rPr>
              <w:t xml:space="preserve"> ocenjuje, </w:t>
            </w:r>
            <w:r w:rsidRPr="00BA2F00">
              <w:rPr>
                <w:sz w:val="22"/>
              </w:rPr>
              <w:t>glede na prejete zahtevke za povračilo, kjer upravičenci poročajo o vsebinskem in finančnem napredku, o morebitnih vprašanjih, ki vplivajo na smotrnost programa, spremembah strategije ali nacionalnih ciljev ali dejavnikov, ki bi privedli do sprememb, da je zadnja verzija programa AMIF in pripadajoče metodologije (4.0)</w:t>
            </w:r>
            <w:r w:rsidR="00540F90" w:rsidRPr="00BA2F00">
              <w:rPr>
                <w:sz w:val="22"/>
              </w:rPr>
              <w:t xml:space="preserve"> </w:t>
            </w:r>
            <w:r w:rsidRPr="00BA2F00">
              <w:rPr>
                <w:sz w:val="22"/>
              </w:rPr>
              <w:t xml:space="preserve">ustrezno popravila </w:t>
            </w:r>
            <w:r w:rsidR="00EA3597" w:rsidRPr="00BA2F00">
              <w:rPr>
                <w:sz w:val="22"/>
              </w:rPr>
              <w:t xml:space="preserve">večino </w:t>
            </w:r>
            <w:r w:rsidRPr="00BA2F00">
              <w:rPr>
                <w:sz w:val="22"/>
              </w:rPr>
              <w:t>ciljn</w:t>
            </w:r>
            <w:r w:rsidR="00EA3597" w:rsidRPr="00BA2F00">
              <w:rPr>
                <w:sz w:val="22"/>
              </w:rPr>
              <w:t>ih</w:t>
            </w:r>
            <w:r w:rsidRPr="00BA2F00">
              <w:rPr>
                <w:sz w:val="22"/>
              </w:rPr>
              <w:t xml:space="preserve"> vrednosti kazalnikov (2029), bodisi zaradi povečanih potreb, sprememb ali odprav</w:t>
            </w:r>
            <w:r w:rsidR="00540F90" w:rsidRPr="00BA2F00">
              <w:rPr>
                <w:sz w:val="22"/>
              </w:rPr>
              <w:t>e</w:t>
            </w:r>
            <w:r w:rsidRPr="00BA2F00">
              <w:rPr>
                <w:sz w:val="22"/>
              </w:rPr>
              <w:t xml:space="preserve"> prvotn</w:t>
            </w:r>
            <w:r w:rsidR="00540F90" w:rsidRPr="00BA2F00">
              <w:rPr>
                <w:sz w:val="22"/>
              </w:rPr>
              <w:t>ih</w:t>
            </w:r>
            <w:r w:rsidRPr="00BA2F00">
              <w:rPr>
                <w:sz w:val="22"/>
              </w:rPr>
              <w:t xml:space="preserve"> nepravilnosti (napačno načrtovanje) – zato menimo, da bodo ciljne vrednosti </w:t>
            </w:r>
            <w:r w:rsidR="00540F90" w:rsidRPr="00BA2F00">
              <w:rPr>
                <w:sz w:val="22"/>
              </w:rPr>
              <w:t xml:space="preserve">praviloma </w:t>
            </w:r>
            <w:r w:rsidRPr="00BA2F00">
              <w:rPr>
                <w:sz w:val="22"/>
              </w:rPr>
              <w:t xml:space="preserve">dosežene. </w:t>
            </w:r>
            <w:r w:rsidR="00EA3597" w:rsidRPr="00BA2F00">
              <w:rPr>
                <w:sz w:val="22"/>
              </w:rPr>
              <w:t>Ciljne v</w:t>
            </w:r>
            <w:r w:rsidRPr="00BA2F00">
              <w:rPr>
                <w:sz w:val="22"/>
              </w:rPr>
              <w:t>rednosti nekaterih kazalnikov, ki so vezane predvsem na operacije, ki se dodelijo na podlagi javnih razpisov, pa bodo dosežene z zamudo (O.2.7, O.2.3.3, O.2.3.2, O.2.2) ali pa bodo sredstva usmerjena v aktivnosti s povečanimi potrebami.</w:t>
            </w:r>
            <w:r w:rsidR="00EA3597" w:rsidRPr="00BA2F00">
              <w:rPr>
                <w:sz w:val="22"/>
              </w:rPr>
              <w:t xml:space="preserve"> </w:t>
            </w:r>
            <w:r w:rsidR="00DB0A74" w:rsidRPr="00BA2F00">
              <w:rPr>
                <w:sz w:val="22"/>
              </w:rPr>
              <w:t>Velik izziv predstavljajo kazalniki na SO3</w:t>
            </w:r>
            <w:r w:rsidR="00A6104E" w:rsidRPr="00BA2F00">
              <w:rPr>
                <w:sz w:val="22"/>
              </w:rPr>
              <w:t>, saj so ti odvisni tudi od zunanjih dejavnikov, kot npr. obseg financiranja vračanj s strani Frontex, nacionalne strukture tujcev ter globalnih migracijskih trendov, ki vplivajo na stanje v RS.</w:t>
            </w:r>
          </w:p>
          <w:p w14:paraId="296C4DAF" w14:textId="28CCEA58" w:rsidR="000B7914" w:rsidRPr="00BA2F00" w:rsidRDefault="0087249A" w:rsidP="000B7914">
            <w:pPr>
              <w:spacing w:after="0" w:line="260" w:lineRule="exact"/>
              <w:rPr>
                <w:sz w:val="22"/>
              </w:rPr>
            </w:pPr>
            <w:r w:rsidRPr="00BA2F00">
              <w:rPr>
                <w:sz w:val="22"/>
              </w:rPr>
              <w:t>Sledi b</w:t>
            </w:r>
            <w:r w:rsidR="000B7914" w:rsidRPr="00BA2F00">
              <w:rPr>
                <w:sz w:val="22"/>
              </w:rPr>
              <w:t xml:space="preserve">olj natančen prikaz po kazalnikih (zajete vrednosti kazalnikov </w:t>
            </w:r>
            <w:r w:rsidRPr="00BA2F00">
              <w:rPr>
                <w:sz w:val="22"/>
              </w:rPr>
              <w:t xml:space="preserve">v </w:t>
            </w:r>
            <w:r w:rsidR="000B7914" w:rsidRPr="00BA2F00">
              <w:rPr>
                <w:sz w:val="22"/>
              </w:rPr>
              <w:t>sklad</w:t>
            </w:r>
            <w:r w:rsidRPr="00BA2F00">
              <w:rPr>
                <w:sz w:val="22"/>
              </w:rPr>
              <w:t>u</w:t>
            </w:r>
            <w:r w:rsidR="000B7914" w:rsidRPr="00BA2F00">
              <w:rPr>
                <w:sz w:val="22"/>
              </w:rPr>
              <w:t xml:space="preserve"> s poročilom Prenos podatkov</w:t>
            </w:r>
            <w:r w:rsidRPr="00BA2F00">
              <w:rPr>
                <w:sz w:val="22"/>
              </w:rPr>
              <w:t xml:space="preserve">, </w:t>
            </w:r>
            <w:r w:rsidR="000B7914" w:rsidRPr="00BA2F00">
              <w:rPr>
                <w:sz w:val="22"/>
              </w:rPr>
              <w:t>na dan 30.</w:t>
            </w:r>
            <w:r w:rsidR="00DB0A74" w:rsidRPr="00BA2F00">
              <w:rPr>
                <w:sz w:val="22"/>
              </w:rPr>
              <w:t xml:space="preserve"> </w:t>
            </w:r>
            <w:r w:rsidR="000B7914" w:rsidRPr="00BA2F00">
              <w:rPr>
                <w:sz w:val="22"/>
              </w:rPr>
              <w:t>6.</w:t>
            </w:r>
            <w:r w:rsidR="00DB0A74" w:rsidRPr="00BA2F00">
              <w:rPr>
                <w:sz w:val="22"/>
              </w:rPr>
              <w:t xml:space="preserve"> </w:t>
            </w:r>
            <w:r w:rsidR="000B7914" w:rsidRPr="00BA2F00">
              <w:rPr>
                <w:sz w:val="22"/>
              </w:rPr>
              <w:t>2025 in temeljijo na oddanih zahtevkih za povračilo s strani uporabnikov. V fazi pregleda zahtevkov (OU) se lahko določene vrednosti korigirajo):</w:t>
            </w:r>
          </w:p>
          <w:p w14:paraId="3AED061F" w14:textId="29C3780E" w:rsidR="000B7914" w:rsidRPr="00BA2F00" w:rsidRDefault="000B7914" w:rsidP="000B7914">
            <w:pPr>
              <w:spacing w:after="0" w:line="260" w:lineRule="exact"/>
              <w:rPr>
                <w:sz w:val="22"/>
              </w:rPr>
            </w:pPr>
            <w:r w:rsidRPr="00BA2F00">
              <w:rPr>
                <w:sz w:val="22"/>
              </w:rPr>
              <w:t>O.1.1</w:t>
            </w:r>
            <w:r w:rsidR="00375FE4" w:rsidRPr="00BA2F00">
              <w:rPr>
                <w:sz w:val="22"/>
              </w:rPr>
              <w:t xml:space="preserve"> </w:t>
            </w:r>
            <w:r w:rsidRPr="00BA2F00">
              <w:rPr>
                <w:sz w:val="22"/>
              </w:rPr>
              <w:t>- Število udeležencev, ki so prejeli podporo (108.530)</w:t>
            </w:r>
            <w:r w:rsidR="00375FE4" w:rsidRPr="00BA2F00">
              <w:rPr>
                <w:sz w:val="22"/>
              </w:rPr>
              <w:t>:</w:t>
            </w:r>
            <w:r w:rsidRPr="00BA2F00">
              <w:rPr>
                <w:sz w:val="22"/>
              </w:rPr>
              <w:t xml:space="preserve"> Z novim programov je bila ciljna vrednost prilagojena dejanskemu stanju (185.490) in menimo, da bo dosežena. Vsaka oseba se šteje večkrat (enkrat v vsakem projektu).  </w:t>
            </w:r>
          </w:p>
          <w:p w14:paraId="32109B0B" w14:textId="10CEDA2D" w:rsidR="000B7914" w:rsidRPr="00BA2F00" w:rsidRDefault="000B7914" w:rsidP="000B7914">
            <w:pPr>
              <w:spacing w:after="0" w:line="260" w:lineRule="exact"/>
              <w:rPr>
                <w:sz w:val="22"/>
              </w:rPr>
            </w:pPr>
            <w:r w:rsidRPr="00BA2F00">
              <w:rPr>
                <w:sz w:val="22"/>
              </w:rPr>
              <w:t>O.1.1.1</w:t>
            </w:r>
            <w:r w:rsidR="00375FE4" w:rsidRPr="00BA2F00">
              <w:rPr>
                <w:sz w:val="22"/>
              </w:rPr>
              <w:t xml:space="preserve"> </w:t>
            </w:r>
            <w:r w:rsidRPr="00BA2F00">
              <w:rPr>
                <w:sz w:val="22"/>
              </w:rPr>
              <w:t>-</w:t>
            </w:r>
            <w:r w:rsidR="00375FE4" w:rsidRPr="00BA2F00">
              <w:rPr>
                <w:sz w:val="22"/>
              </w:rPr>
              <w:t xml:space="preserve"> </w:t>
            </w:r>
            <w:r w:rsidRPr="00BA2F00">
              <w:rPr>
                <w:sz w:val="22"/>
              </w:rPr>
              <w:t>od tega število udeležencev, ki so prejeli pravno pomoč</w:t>
            </w:r>
            <w:r w:rsidR="00375FE4" w:rsidRPr="00BA2F00">
              <w:rPr>
                <w:sz w:val="22"/>
              </w:rPr>
              <w:t>:</w:t>
            </w:r>
            <w:r w:rsidRPr="00BA2F00">
              <w:rPr>
                <w:sz w:val="22"/>
              </w:rPr>
              <w:t xml:space="preserve"> V obdobju poročanja smo poročali vrednost 435. Načrtovana vrednost je previsoka, ker smo načrtovali, da kazalnik vključuje vse, ki so prejeli pravno pomoč (tj. pravno informiranje), sedaj pa pravilno poročamo le podatke za osebe, ki jim je bila vloga za mednarodno zaščito zavrnjena in so bili deležni pravnega zastopanja.</w:t>
            </w:r>
          </w:p>
          <w:p w14:paraId="0F5251A0" w14:textId="6A0327A0" w:rsidR="000B7914" w:rsidRPr="00BA2F00" w:rsidRDefault="000B7914" w:rsidP="000B7914">
            <w:pPr>
              <w:spacing w:after="0" w:line="260" w:lineRule="exact"/>
              <w:rPr>
                <w:sz w:val="22"/>
              </w:rPr>
            </w:pPr>
            <w:r w:rsidRPr="00BA2F00">
              <w:rPr>
                <w:sz w:val="22"/>
              </w:rPr>
              <w:t>O.1.2</w:t>
            </w:r>
            <w:r w:rsidR="00375FE4" w:rsidRPr="00BA2F00">
              <w:rPr>
                <w:sz w:val="22"/>
              </w:rPr>
              <w:t xml:space="preserve"> </w:t>
            </w:r>
            <w:r w:rsidRPr="00BA2F00">
              <w:rPr>
                <w:sz w:val="22"/>
              </w:rPr>
              <w:t>-</w:t>
            </w:r>
            <w:r w:rsidR="00375FE4" w:rsidRPr="00BA2F00">
              <w:rPr>
                <w:sz w:val="22"/>
              </w:rPr>
              <w:t xml:space="preserve"> </w:t>
            </w:r>
            <w:r w:rsidRPr="00BA2F00">
              <w:rPr>
                <w:sz w:val="22"/>
              </w:rPr>
              <w:t>Število udeležencev dejavnosti usposabljanja (32)</w:t>
            </w:r>
            <w:r w:rsidR="00375FE4" w:rsidRPr="00BA2F00">
              <w:rPr>
                <w:sz w:val="22"/>
              </w:rPr>
              <w:t>:</w:t>
            </w:r>
            <w:r w:rsidRPr="00BA2F00">
              <w:rPr>
                <w:sz w:val="22"/>
              </w:rPr>
              <w:t xml:space="preserve"> Ciljne vrednosti (2024-75 in 2029-170). Prvotne vrednosti za mejnik so bile določene z Načrtom izobraževanja, ker pa se usposabljanja trenutno financirajo s strani E</w:t>
            </w:r>
            <w:r w:rsidR="005B6294" w:rsidRPr="00BA2F00">
              <w:rPr>
                <w:sz w:val="22"/>
              </w:rPr>
              <w:t>UAA</w:t>
            </w:r>
            <w:r w:rsidRPr="00BA2F00">
              <w:rPr>
                <w:sz w:val="22"/>
              </w:rPr>
              <w:t>, iz AMIF pa se bodo kasneje (zaradi Pakta o migracijah), menimo, da bo cilj dosežen. Posledično enako velja za R.1.5 in R.1.6</w:t>
            </w:r>
            <w:r w:rsidR="000E3818" w:rsidRPr="00BA2F00">
              <w:rPr>
                <w:sz w:val="22"/>
              </w:rPr>
              <w:t>.</w:t>
            </w:r>
          </w:p>
          <w:p w14:paraId="27F79C13" w14:textId="045F266A" w:rsidR="000B7914" w:rsidRPr="00BA2F00" w:rsidRDefault="000B7914" w:rsidP="000B7914">
            <w:pPr>
              <w:spacing w:after="0" w:line="260" w:lineRule="exact"/>
              <w:rPr>
                <w:sz w:val="22"/>
              </w:rPr>
            </w:pPr>
            <w:r w:rsidRPr="00BA2F00">
              <w:rPr>
                <w:sz w:val="22"/>
              </w:rPr>
              <w:t>O.1.3</w:t>
            </w:r>
            <w:r w:rsidR="00375FE4" w:rsidRPr="00BA2F00">
              <w:rPr>
                <w:sz w:val="22"/>
              </w:rPr>
              <w:t xml:space="preserve"> </w:t>
            </w:r>
            <w:r w:rsidRPr="00BA2F00">
              <w:rPr>
                <w:sz w:val="22"/>
              </w:rPr>
              <w:t>-</w:t>
            </w:r>
            <w:r w:rsidR="00375FE4" w:rsidRPr="00BA2F00">
              <w:rPr>
                <w:sz w:val="22"/>
              </w:rPr>
              <w:t xml:space="preserve"> </w:t>
            </w:r>
            <w:r w:rsidRPr="00BA2F00">
              <w:rPr>
                <w:sz w:val="22"/>
              </w:rPr>
              <w:t>Število novo ustvarjenih mest v sprejemni infrastrukturi v skladu s pravnim redom Unije (70)</w:t>
            </w:r>
            <w:r w:rsidR="00375FE4" w:rsidRPr="00BA2F00">
              <w:rPr>
                <w:sz w:val="22"/>
              </w:rPr>
              <w:t>:</w:t>
            </w:r>
            <w:r w:rsidRPr="00BA2F00">
              <w:rPr>
                <w:sz w:val="22"/>
              </w:rPr>
              <w:t xml:space="preserve"> Aktivnosti se izvajajo in ciljne vrednosti, bodo dosežene, če ne celo presežene, zlasti zaradi povečanih potreb in dodeljenih sredstev za ureditev novih mest za mladoletnike brez spremstva (O.1.3.1) in namestitev prosilcev za mednarodno zaščito v sprejemni infrastrukturi (Pakt potrebe).</w:t>
            </w:r>
          </w:p>
          <w:p w14:paraId="52BCCBCC" w14:textId="47C4A872" w:rsidR="000B7914" w:rsidRPr="00BA2F00" w:rsidRDefault="000B7914" w:rsidP="000B7914">
            <w:pPr>
              <w:spacing w:after="0" w:line="260" w:lineRule="exact"/>
              <w:rPr>
                <w:sz w:val="22"/>
              </w:rPr>
            </w:pPr>
            <w:r w:rsidRPr="00BA2F00">
              <w:rPr>
                <w:sz w:val="22"/>
              </w:rPr>
              <w:t>O.2.2</w:t>
            </w:r>
            <w:r w:rsidR="004F530D" w:rsidRPr="00BA2F00">
              <w:rPr>
                <w:sz w:val="22"/>
              </w:rPr>
              <w:t> </w:t>
            </w:r>
            <w:r w:rsidRPr="00BA2F00">
              <w:rPr>
                <w:sz w:val="22"/>
              </w:rPr>
              <w:t>-</w:t>
            </w:r>
            <w:r w:rsidR="004F530D" w:rsidRPr="00BA2F00">
              <w:rPr>
                <w:sz w:val="22"/>
              </w:rPr>
              <w:t> </w:t>
            </w:r>
            <w:r w:rsidRPr="00BA2F00">
              <w:rPr>
                <w:sz w:val="22"/>
              </w:rPr>
              <w:t>Število lokalnih in regionalnih organov, ki so prejeli podporo za izvajanje ukrepov za vključevanje (0) in O.2.7</w:t>
            </w:r>
            <w:r w:rsidR="00375FE4" w:rsidRPr="00BA2F00">
              <w:rPr>
                <w:sz w:val="22"/>
              </w:rPr>
              <w:t xml:space="preserve"> </w:t>
            </w:r>
            <w:r w:rsidRPr="00BA2F00">
              <w:rPr>
                <w:sz w:val="22"/>
              </w:rPr>
              <w:t>- Število projektov vključevanja, v okviru katerih so upravičenci lokalni in regionalni organi (0)</w:t>
            </w:r>
            <w:r w:rsidR="00375FE4" w:rsidRPr="00BA2F00">
              <w:rPr>
                <w:sz w:val="22"/>
              </w:rPr>
              <w:t>:</w:t>
            </w:r>
            <w:r w:rsidRPr="00BA2F00">
              <w:rPr>
                <w:sz w:val="22"/>
              </w:rPr>
              <w:t xml:space="preserve"> Nedoseganje je posledica zamud pri izvedbi postopkov javnih razpisov za izbiro izvajalcev. V času poročanja izvajalci še niso bili izbrani za izvedbo. Ali bo vrednost kazalnika </w:t>
            </w:r>
            <w:r w:rsidRPr="00BA2F00">
              <w:rPr>
                <w:sz w:val="22"/>
              </w:rPr>
              <w:lastRenderedPageBreak/>
              <w:t>dosežena, še ni mogoče oceniti, v primeru povečanih potreb na drugih aktivnostih (npr. Tečaji slovenskega jezika), se bodo sredstva preusmerila za ta namen.</w:t>
            </w:r>
          </w:p>
          <w:p w14:paraId="2FE32E06" w14:textId="0C25FD25" w:rsidR="000B7914" w:rsidRPr="00BA2F00" w:rsidRDefault="000B7914" w:rsidP="000B7914">
            <w:pPr>
              <w:spacing w:after="0" w:line="260" w:lineRule="exact"/>
              <w:rPr>
                <w:sz w:val="22"/>
              </w:rPr>
            </w:pPr>
            <w:r w:rsidRPr="00BA2F00">
              <w:rPr>
                <w:sz w:val="22"/>
              </w:rPr>
              <w:t>O.2.3</w:t>
            </w:r>
            <w:r w:rsidR="004F530D" w:rsidRPr="00BA2F00">
              <w:rPr>
                <w:sz w:val="22"/>
              </w:rPr>
              <w:t> </w:t>
            </w:r>
            <w:r w:rsidRPr="00BA2F00">
              <w:rPr>
                <w:sz w:val="22"/>
              </w:rPr>
              <w:t>-</w:t>
            </w:r>
            <w:r w:rsidR="004F530D" w:rsidRPr="00BA2F00">
              <w:rPr>
                <w:sz w:val="22"/>
              </w:rPr>
              <w:t> </w:t>
            </w:r>
            <w:r w:rsidRPr="00BA2F00">
              <w:rPr>
                <w:sz w:val="22"/>
              </w:rPr>
              <w:t>Število udeležencev, ki so prejeli podporo (12.671) in O.2.3.1 (12.671) od tega število udeležencev jezikovnega tečaja</w:t>
            </w:r>
            <w:r w:rsidR="00B72380" w:rsidRPr="00BA2F00">
              <w:rPr>
                <w:sz w:val="22"/>
              </w:rPr>
              <w:t>:</w:t>
            </w:r>
            <w:r w:rsidRPr="00BA2F00">
              <w:rPr>
                <w:sz w:val="22"/>
              </w:rPr>
              <w:t xml:space="preserve"> Gre za občutno povečanje kazalnikov, zaradi povečanih potreb. Poznavanje jezika države je pomembno </w:t>
            </w:r>
            <w:r w:rsidR="004B6798" w:rsidRPr="00BA2F00">
              <w:rPr>
                <w:sz w:val="22"/>
              </w:rPr>
              <w:t>za</w:t>
            </w:r>
            <w:r w:rsidRPr="00BA2F00">
              <w:rPr>
                <w:sz w:val="22"/>
              </w:rPr>
              <w:t xml:space="preserve"> uspešno integracijo v družbo</w:t>
            </w:r>
            <w:r w:rsidR="004B6798" w:rsidRPr="00BA2F00">
              <w:rPr>
                <w:sz w:val="22"/>
              </w:rPr>
              <w:t xml:space="preserve">, saj </w:t>
            </w:r>
            <w:r w:rsidRPr="00BA2F00">
              <w:rPr>
                <w:sz w:val="22"/>
              </w:rPr>
              <w:t>udeleženci pridobijo potrdilo, ki jim omogoča zaposlitve in lastni vir dohodka za preživetje</w:t>
            </w:r>
            <w:r w:rsidR="004B6798" w:rsidRPr="00BA2F00">
              <w:rPr>
                <w:sz w:val="22"/>
              </w:rPr>
              <w:t xml:space="preserve"> v skupnosti</w:t>
            </w:r>
            <w:r w:rsidRPr="00BA2F00">
              <w:rPr>
                <w:sz w:val="22"/>
              </w:rPr>
              <w:t xml:space="preserve">. </w:t>
            </w:r>
            <w:r w:rsidR="00B72380" w:rsidRPr="00BA2F00">
              <w:rPr>
                <w:sz w:val="22"/>
              </w:rPr>
              <w:t>Stroški operacije so se povečali tudi, ker se povečuje š</w:t>
            </w:r>
            <w:r w:rsidRPr="00BA2F00">
              <w:rPr>
                <w:sz w:val="22"/>
              </w:rPr>
              <w:t>tevilo udeležencev (osebe z mednarodno zaščito, državljani tretjih držav in njihovi pridruženi družinski člani), ki obiskujejo tečaje slovenskega jezika</w:t>
            </w:r>
            <w:r w:rsidR="00B72380" w:rsidRPr="00BA2F00">
              <w:rPr>
                <w:sz w:val="22"/>
              </w:rPr>
              <w:t xml:space="preserve"> ter, ker je v operacijo vključena </w:t>
            </w:r>
            <w:proofErr w:type="spellStart"/>
            <w:r w:rsidR="00B72380" w:rsidRPr="00BA2F00">
              <w:rPr>
                <w:sz w:val="22"/>
              </w:rPr>
              <w:t>preživetvena</w:t>
            </w:r>
            <w:proofErr w:type="spellEnd"/>
            <w:r w:rsidR="00B72380" w:rsidRPr="00BA2F00">
              <w:rPr>
                <w:sz w:val="22"/>
              </w:rPr>
              <w:t xml:space="preserve"> raven. </w:t>
            </w:r>
            <w:r w:rsidR="004B6798" w:rsidRPr="00BA2F00">
              <w:rPr>
                <w:sz w:val="22"/>
              </w:rPr>
              <w:t>N</w:t>
            </w:r>
            <w:r w:rsidRPr="00BA2F00">
              <w:rPr>
                <w:sz w:val="22"/>
              </w:rPr>
              <w:t xml:space="preserve">ovembra 2024 </w:t>
            </w:r>
            <w:r w:rsidR="004B6798" w:rsidRPr="00BA2F00">
              <w:rPr>
                <w:sz w:val="22"/>
              </w:rPr>
              <w:t xml:space="preserve">se je tudi </w:t>
            </w:r>
            <w:r w:rsidRPr="00BA2F00">
              <w:rPr>
                <w:sz w:val="22"/>
              </w:rPr>
              <w:t xml:space="preserve">pričela uporabljati novela Zakona o tujcih, ki </w:t>
            </w:r>
            <w:r w:rsidR="004B6798" w:rsidRPr="00BA2F00">
              <w:rPr>
                <w:sz w:val="22"/>
              </w:rPr>
              <w:t>za ciljne skupine</w:t>
            </w:r>
            <w:r w:rsidRPr="00BA2F00">
              <w:rPr>
                <w:sz w:val="22"/>
              </w:rPr>
              <w:t xml:space="preserve"> zahteva ustrezno raven znanja slovenskega jezika. </w:t>
            </w:r>
            <w:r w:rsidR="007F738D" w:rsidRPr="00BA2F00">
              <w:rPr>
                <w:sz w:val="22"/>
              </w:rPr>
              <w:t xml:space="preserve">Pri </w:t>
            </w:r>
            <w:r w:rsidRPr="00BA2F00">
              <w:rPr>
                <w:sz w:val="22"/>
              </w:rPr>
              <w:t>O.2.3.2 -</w:t>
            </w:r>
            <w:r w:rsidR="007F738D" w:rsidRPr="00BA2F00">
              <w:rPr>
                <w:sz w:val="22"/>
              </w:rPr>
              <w:t xml:space="preserve"> </w:t>
            </w:r>
            <w:r w:rsidRPr="00BA2F00">
              <w:rPr>
                <w:sz w:val="22"/>
              </w:rPr>
              <w:t>od tega število udeležencev tečaja državljanske vzgoje (0)</w:t>
            </w:r>
            <w:r w:rsidR="007F738D" w:rsidRPr="00BA2F00">
              <w:rPr>
                <w:sz w:val="22"/>
              </w:rPr>
              <w:t xml:space="preserve"> </w:t>
            </w:r>
            <w:r w:rsidRPr="00BA2F00">
              <w:rPr>
                <w:sz w:val="22"/>
              </w:rPr>
              <w:t xml:space="preserve">je nedoseganje zastavljenih vrednosti posledica zamud pri izvedbi postopkov javnih razpisov za izbiro izvajalcev. </w:t>
            </w:r>
          </w:p>
          <w:p w14:paraId="16E86617" w14:textId="7BA68678" w:rsidR="00165401" w:rsidRPr="00BA2F00" w:rsidRDefault="00165401" w:rsidP="000B7914">
            <w:pPr>
              <w:spacing w:after="0" w:line="260" w:lineRule="exact"/>
              <w:rPr>
                <w:sz w:val="22"/>
              </w:rPr>
            </w:pPr>
            <w:r w:rsidRPr="00BA2F00">
              <w:rPr>
                <w:sz w:val="22"/>
              </w:rPr>
              <w:t xml:space="preserve">R.2.10 - Število udeležencev, ki so zaprosili za priznanje ali ocenjevanje svojih kvalifikacij ali znanj in spretnosti, pridobljenih v tretji državi (0): Spremljanje kazalnika je povezano </w:t>
            </w:r>
            <w:r w:rsidR="00564F90" w:rsidRPr="00BA2F00">
              <w:rPr>
                <w:sz w:val="22"/>
              </w:rPr>
              <w:t xml:space="preserve">z </w:t>
            </w:r>
            <w:r w:rsidRPr="00BA2F00">
              <w:rPr>
                <w:sz w:val="22"/>
              </w:rPr>
              <w:t>operacijo Migranti za migrante, usposabljanji, dodatno podporo pri integraciji, pilotno postavitvijo projekta - izvedbo obveznega integracijskega programa, usposabljanjem OMZ za vstop na trg dela. Te operacije se še niso pričele izvajati, zaradi</w:t>
            </w:r>
            <w:r w:rsidR="007C21C0" w:rsidRPr="00BA2F00">
              <w:rPr>
                <w:sz w:val="22"/>
              </w:rPr>
              <w:t xml:space="preserve"> izzivov na drugih operacijah (npr. tečaji slovenskega jezika in vzpostavitev </w:t>
            </w:r>
            <w:proofErr w:type="spellStart"/>
            <w:r w:rsidR="007C21C0" w:rsidRPr="00BA2F00">
              <w:rPr>
                <w:sz w:val="22"/>
              </w:rPr>
              <w:t>informacijskege</w:t>
            </w:r>
            <w:proofErr w:type="spellEnd"/>
            <w:r w:rsidR="007C21C0" w:rsidRPr="00BA2F00">
              <w:rPr>
                <w:sz w:val="22"/>
              </w:rPr>
              <w:t xml:space="preserve"> središča za tujce) in zaradi izzivov s prejemom ustreznih prijav na javne razpise.</w:t>
            </w:r>
          </w:p>
          <w:p w14:paraId="26921DDF" w14:textId="35B42028" w:rsidR="00B7336B" w:rsidRPr="00BA2F00" w:rsidRDefault="000B7914" w:rsidP="000B7914">
            <w:pPr>
              <w:spacing w:after="0" w:line="260" w:lineRule="exact"/>
              <w:rPr>
                <w:sz w:val="22"/>
              </w:rPr>
            </w:pPr>
            <w:r w:rsidRPr="00BA2F00">
              <w:rPr>
                <w:sz w:val="22"/>
              </w:rPr>
              <w:t>O.3.1</w:t>
            </w:r>
            <w:r w:rsidR="00375FE4" w:rsidRPr="00BA2F00">
              <w:rPr>
                <w:sz w:val="22"/>
              </w:rPr>
              <w:t> </w:t>
            </w:r>
            <w:r w:rsidRPr="00BA2F00">
              <w:rPr>
                <w:sz w:val="22"/>
              </w:rPr>
              <w:t>-</w:t>
            </w:r>
            <w:r w:rsidR="00375FE4" w:rsidRPr="00BA2F00">
              <w:rPr>
                <w:sz w:val="22"/>
              </w:rPr>
              <w:t> </w:t>
            </w:r>
            <w:r w:rsidRPr="00BA2F00">
              <w:rPr>
                <w:sz w:val="22"/>
              </w:rPr>
              <w:t>Število udeležencev dejavnosti usposabljanja (0)</w:t>
            </w:r>
            <w:r w:rsidR="00375FE4" w:rsidRPr="00BA2F00">
              <w:rPr>
                <w:sz w:val="22"/>
              </w:rPr>
              <w:t>:</w:t>
            </w:r>
            <w:r w:rsidRPr="00BA2F00">
              <w:rPr>
                <w:sz w:val="22"/>
              </w:rPr>
              <w:t xml:space="preserve"> </w:t>
            </w:r>
            <w:r w:rsidR="00B7336B" w:rsidRPr="00BA2F00">
              <w:rPr>
                <w:sz w:val="22"/>
              </w:rPr>
              <w:t>Napredek pri</w:t>
            </w:r>
            <w:r w:rsidRPr="00BA2F00">
              <w:rPr>
                <w:sz w:val="22"/>
              </w:rPr>
              <w:t xml:space="preserve"> </w:t>
            </w:r>
            <w:r w:rsidR="00B7336B" w:rsidRPr="00BA2F00">
              <w:rPr>
                <w:sz w:val="22"/>
              </w:rPr>
              <w:t xml:space="preserve">tem </w:t>
            </w:r>
            <w:r w:rsidRPr="00BA2F00">
              <w:rPr>
                <w:sz w:val="22"/>
              </w:rPr>
              <w:t>kazalnik</w:t>
            </w:r>
            <w:r w:rsidR="00B7336B" w:rsidRPr="00BA2F00">
              <w:rPr>
                <w:sz w:val="22"/>
              </w:rPr>
              <w:t>u</w:t>
            </w:r>
            <w:r w:rsidR="00860C89" w:rsidRPr="00BA2F00">
              <w:rPr>
                <w:sz w:val="22"/>
              </w:rPr>
              <w:t xml:space="preserve"> (</w:t>
            </w:r>
            <w:r w:rsidRPr="00BA2F00">
              <w:rPr>
                <w:sz w:val="22"/>
              </w:rPr>
              <w:t>povezan z jezikovnimi tečaji, taktičnimi izobraževanji, izobraževanji za učinkovitejše delo in komunikacijo ter specializiranimi usposabljanji za zdravstvene in socialne delavce, za spremljevalce prisilnega vračanja</w:t>
            </w:r>
            <w:r w:rsidR="00860C89" w:rsidRPr="00BA2F00">
              <w:rPr>
                <w:sz w:val="22"/>
              </w:rPr>
              <w:t>)</w:t>
            </w:r>
            <w:r w:rsidRPr="00BA2F00">
              <w:rPr>
                <w:sz w:val="22"/>
              </w:rPr>
              <w:t xml:space="preserve"> </w:t>
            </w:r>
            <w:r w:rsidR="00B7336B" w:rsidRPr="00BA2F00">
              <w:rPr>
                <w:sz w:val="22"/>
              </w:rPr>
              <w:t xml:space="preserve">zamuja, zaradi </w:t>
            </w:r>
            <w:r w:rsidR="002A2DD0" w:rsidRPr="00BA2F00">
              <w:rPr>
                <w:sz w:val="22"/>
              </w:rPr>
              <w:t xml:space="preserve">nekaterih </w:t>
            </w:r>
            <w:r w:rsidR="00860C89" w:rsidRPr="00BA2F00">
              <w:rPr>
                <w:sz w:val="22"/>
              </w:rPr>
              <w:t xml:space="preserve">izvedenih </w:t>
            </w:r>
            <w:r w:rsidR="002A2DD0" w:rsidRPr="00BA2F00">
              <w:rPr>
                <w:sz w:val="22"/>
              </w:rPr>
              <w:t xml:space="preserve">izobraževanj iz drugih sredstev ter kasnejšim pričetkom izvajanja </w:t>
            </w:r>
            <w:r w:rsidR="00860C89" w:rsidRPr="00BA2F00">
              <w:rPr>
                <w:sz w:val="22"/>
              </w:rPr>
              <w:t xml:space="preserve">teh </w:t>
            </w:r>
            <w:r w:rsidR="002A2DD0" w:rsidRPr="00BA2F00">
              <w:rPr>
                <w:sz w:val="22"/>
              </w:rPr>
              <w:t>operacij.</w:t>
            </w:r>
            <w:r w:rsidR="00B7336B" w:rsidRPr="00BA2F00">
              <w:rPr>
                <w:sz w:val="22"/>
              </w:rPr>
              <w:t xml:space="preserve"> </w:t>
            </w:r>
            <w:r w:rsidR="002A2DD0" w:rsidRPr="00BA2F00">
              <w:rPr>
                <w:sz w:val="22"/>
              </w:rPr>
              <w:t xml:space="preserve">Črpanje sredstev AMIF in udeležba na usposabljanjih se </w:t>
            </w:r>
            <w:r w:rsidR="00B7336B" w:rsidRPr="00BA2F00">
              <w:rPr>
                <w:sz w:val="22"/>
              </w:rPr>
              <w:t>predvideva</w:t>
            </w:r>
            <w:r w:rsidR="002A2DD0" w:rsidRPr="00BA2F00">
              <w:rPr>
                <w:sz w:val="22"/>
              </w:rPr>
              <w:t xml:space="preserve"> v letu 2026</w:t>
            </w:r>
            <w:r w:rsidR="00B7336B" w:rsidRPr="00BA2F00">
              <w:rPr>
                <w:sz w:val="22"/>
              </w:rPr>
              <w:t>, s čimer bodo sredstva porabljena pravočasno.</w:t>
            </w:r>
          </w:p>
          <w:p w14:paraId="4BD66230" w14:textId="55BCF9C2" w:rsidR="000B7914" w:rsidRPr="00BA2F00" w:rsidRDefault="000B7914" w:rsidP="000B7914">
            <w:pPr>
              <w:spacing w:after="0" w:line="260" w:lineRule="exact"/>
              <w:rPr>
                <w:sz w:val="22"/>
              </w:rPr>
            </w:pPr>
            <w:r w:rsidRPr="00BA2F00">
              <w:rPr>
                <w:sz w:val="22"/>
              </w:rPr>
              <w:t>O.3.2</w:t>
            </w:r>
            <w:r w:rsidR="00012733" w:rsidRPr="00BA2F00">
              <w:rPr>
                <w:sz w:val="22"/>
              </w:rPr>
              <w:t> </w:t>
            </w:r>
            <w:r w:rsidRPr="00BA2F00">
              <w:rPr>
                <w:sz w:val="22"/>
              </w:rPr>
              <w:t>-</w:t>
            </w:r>
            <w:r w:rsidR="00012733" w:rsidRPr="00BA2F00">
              <w:rPr>
                <w:sz w:val="22"/>
              </w:rPr>
              <w:t> </w:t>
            </w:r>
            <w:r w:rsidRPr="00BA2F00">
              <w:rPr>
                <w:sz w:val="22"/>
              </w:rPr>
              <w:t>Število kupljene opreme, vključno s številom kupljenih/posodobljenih sistemov IKT (22)</w:t>
            </w:r>
            <w:r w:rsidR="00012733" w:rsidRPr="00BA2F00">
              <w:rPr>
                <w:sz w:val="22"/>
              </w:rPr>
              <w:t>:</w:t>
            </w:r>
            <w:r w:rsidRPr="00BA2F00">
              <w:rPr>
                <w:sz w:val="22"/>
              </w:rPr>
              <w:t xml:space="preserve"> Glavni razlog za nižjo vrednost je, da je bila večina kupljenih stvari, ki se tretira kot potrošni material in ne kot oprema, zato gre za napačno načrtovanje vrednosti kazalnika in vrednosti ne bodo dosežene.</w:t>
            </w:r>
          </w:p>
          <w:p w14:paraId="5CE1CD1E" w14:textId="65142F08" w:rsidR="000B7914" w:rsidRPr="00BA2F00" w:rsidRDefault="000B7914" w:rsidP="000B7914">
            <w:pPr>
              <w:spacing w:after="0" w:line="260" w:lineRule="exact"/>
              <w:rPr>
                <w:sz w:val="22"/>
              </w:rPr>
            </w:pPr>
            <w:r w:rsidRPr="00BA2F00">
              <w:rPr>
                <w:sz w:val="22"/>
              </w:rPr>
              <w:t>O.3.3</w:t>
            </w:r>
            <w:r w:rsidR="00012733" w:rsidRPr="00BA2F00">
              <w:rPr>
                <w:sz w:val="22"/>
              </w:rPr>
              <w:t> </w:t>
            </w:r>
            <w:r w:rsidRPr="00BA2F00">
              <w:rPr>
                <w:sz w:val="22"/>
              </w:rPr>
              <w:t>-</w:t>
            </w:r>
            <w:r w:rsidR="00012733" w:rsidRPr="00BA2F00">
              <w:rPr>
                <w:sz w:val="22"/>
              </w:rPr>
              <w:t> </w:t>
            </w:r>
            <w:r w:rsidRPr="00BA2F00">
              <w:rPr>
                <w:sz w:val="22"/>
              </w:rPr>
              <w:t>Število oseb v postopku vračanja, ki so prejeli pomoč pri ponovnem vključevanju</w:t>
            </w:r>
            <w:r w:rsidR="00012733" w:rsidRPr="00BA2F00">
              <w:rPr>
                <w:sz w:val="22"/>
              </w:rPr>
              <w:t>:</w:t>
            </w:r>
            <w:r w:rsidRPr="00BA2F00">
              <w:rPr>
                <w:sz w:val="22"/>
              </w:rPr>
              <w:t xml:space="preserve"> </w:t>
            </w:r>
            <w:r w:rsidR="00012733" w:rsidRPr="00BA2F00">
              <w:rPr>
                <w:sz w:val="22"/>
              </w:rPr>
              <w:t>Spremljanje kazalnika je bilo prvotno povezano z izvajanjem vračanja in reintegracije, ki ga izvaja Center za tujce, kjer je bilo predvideno izvajanje operacije po načinu »in-</w:t>
            </w:r>
            <w:proofErr w:type="spellStart"/>
            <w:r w:rsidR="00012733" w:rsidRPr="00BA2F00">
              <w:rPr>
                <w:sz w:val="22"/>
              </w:rPr>
              <w:t>cash</w:t>
            </w:r>
            <w:proofErr w:type="spellEnd"/>
            <w:r w:rsidR="00012733" w:rsidRPr="00BA2F00">
              <w:rPr>
                <w:sz w:val="22"/>
              </w:rPr>
              <w:t xml:space="preserve"> </w:t>
            </w:r>
            <w:proofErr w:type="spellStart"/>
            <w:r w:rsidR="00012733" w:rsidRPr="00BA2F00">
              <w:rPr>
                <w:sz w:val="22"/>
              </w:rPr>
              <w:t>assistance</w:t>
            </w:r>
            <w:proofErr w:type="spellEnd"/>
            <w:r w:rsidR="00012733" w:rsidRPr="00BA2F00">
              <w:rPr>
                <w:sz w:val="22"/>
              </w:rPr>
              <w:t>« ali »in-</w:t>
            </w:r>
            <w:proofErr w:type="spellStart"/>
            <w:r w:rsidR="00012733" w:rsidRPr="00BA2F00">
              <w:rPr>
                <w:sz w:val="22"/>
              </w:rPr>
              <w:t>kind</w:t>
            </w:r>
            <w:proofErr w:type="spellEnd"/>
            <w:r w:rsidR="00012733" w:rsidRPr="00BA2F00">
              <w:rPr>
                <w:sz w:val="22"/>
              </w:rPr>
              <w:t xml:space="preserve"> </w:t>
            </w:r>
            <w:proofErr w:type="spellStart"/>
            <w:r w:rsidR="00012733" w:rsidRPr="00BA2F00">
              <w:rPr>
                <w:sz w:val="22"/>
              </w:rPr>
              <w:t>assistance</w:t>
            </w:r>
            <w:proofErr w:type="spellEnd"/>
            <w:r w:rsidR="00012733" w:rsidRPr="00BA2F00">
              <w:rPr>
                <w:sz w:val="22"/>
              </w:rPr>
              <w:t>«. Z zadnjo verzijo programa je izvajanje teh aktivnosti črtano, sredstva so se prerazporedila na druge operacije. Posledično se tega kazalnika nadalje ne bo spremljalo, ker operacije, ki se izvajajo, z njim niso povezane</w:t>
            </w:r>
            <w:r w:rsidRPr="00BA2F00">
              <w:rPr>
                <w:sz w:val="22"/>
              </w:rPr>
              <w:t>.</w:t>
            </w:r>
          </w:p>
          <w:p w14:paraId="17CD1579" w14:textId="09A443FF" w:rsidR="000B7914" w:rsidRPr="00BA2F00" w:rsidRDefault="000B7914" w:rsidP="00860C89">
            <w:pPr>
              <w:spacing w:after="0" w:line="260" w:lineRule="exact"/>
              <w:rPr>
                <w:sz w:val="22"/>
              </w:rPr>
            </w:pPr>
            <w:r w:rsidRPr="00BA2F00">
              <w:rPr>
                <w:sz w:val="22"/>
              </w:rPr>
              <w:t>O.3.5</w:t>
            </w:r>
            <w:r w:rsidR="00EC1CB6" w:rsidRPr="00BA2F00">
              <w:rPr>
                <w:sz w:val="22"/>
              </w:rPr>
              <w:t> </w:t>
            </w:r>
            <w:r w:rsidRPr="00BA2F00">
              <w:rPr>
                <w:sz w:val="22"/>
              </w:rPr>
              <w:t>-</w:t>
            </w:r>
            <w:r w:rsidR="00EC1CB6" w:rsidRPr="00BA2F00">
              <w:rPr>
                <w:sz w:val="22"/>
              </w:rPr>
              <w:t> </w:t>
            </w:r>
            <w:r w:rsidRPr="00BA2F00">
              <w:rPr>
                <w:sz w:val="22"/>
              </w:rPr>
              <w:t>Število mest v prenovljenih/obnovljenih centrih za pridržanje</w:t>
            </w:r>
            <w:r w:rsidR="00EC1CB6" w:rsidRPr="00BA2F00">
              <w:rPr>
                <w:sz w:val="22"/>
              </w:rPr>
              <w:t>:</w:t>
            </w:r>
            <w:r w:rsidRPr="00BA2F00">
              <w:rPr>
                <w:sz w:val="22"/>
              </w:rPr>
              <w:t xml:space="preserve"> Načrtovana vrednost za cilj (2029)</w:t>
            </w:r>
            <w:r w:rsidR="00EC1CB6" w:rsidRPr="00BA2F00">
              <w:rPr>
                <w:sz w:val="22"/>
              </w:rPr>
              <w:t> </w:t>
            </w:r>
            <w:r w:rsidRPr="00BA2F00">
              <w:rPr>
                <w:sz w:val="22"/>
              </w:rPr>
              <w:t>-</w:t>
            </w:r>
            <w:r w:rsidR="00EC1CB6" w:rsidRPr="00BA2F00">
              <w:rPr>
                <w:sz w:val="22"/>
              </w:rPr>
              <w:t> </w:t>
            </w:r>
            <w:r w:rsidRPr="00BA2F00">
              <w:rPr>
                <w:sz w:val="22"/>
              </w:rPr>
              <w:t>120 bo dosežena, a z zamudo, zaradi združevanja postopkov za obnovo in dolgotrajnosti priprave dokumentacije za izvedbo javnega naročila</w:t>
            </w:r>
            <w:r w:rsidR="00860C89" w:rsidRPr="00BA2F00">
              <w:rPr>
                <w:sz w:val="22"/>
              </w:rPr>
              <w:t xml:space="preserve"> (dela za ureditev zunanjih </w:t>
            </w:r>
            <w:proofErr w:type="spellStart"/>
            <w:r w:rsidR="00860C89" w:rsidRPr="00BA2F00">
              <w:rPr>
                <w:sz w:val="22"/>
              </w:rPr>
              <w:t>poveršin</w:t>
            </w:r>
            <w:proofErr w:type="spellEnd"/>
            <w:r w:rsidR="00860C89" w:rsidRPr="00BA2F00">
              <w:rPr>
                <w:sz w:val="22"/>
              </w:rPr>
              <w:t xml:space="preserve"> so v teku, za ostale aktivnosti </w:t>
            </w:r>
            <w:proofErr w:type="spellStart"/>
            <w:r w:rsidR="00860C89" w:rsidRPr="00BA2F00">
              <w:rPr>
                <w:sz w:val="22"/>
              </w:rPr>
              <w:t>časovnica</w:t>
            </w:r>
            <w:proofErr w:type="spellEnd"/>
            <w:r w:rsidR="00860C89" w:rsidRPr="00BA2F00">
              <w:rPr>
                <w:sz w:val="22"/>
              </w:rPr>
              <w:t xml:space="preserve"> še ni znana, ker je dokumentacija v pridobivanju).</w:t>
            </w:r>
          </w:p>
          <w:p w14:paraId="7748E92F" w14:textId="77777777" w:rsidR="00B93DCC" w:rsidRPr="00BA2F00" w:rsidRDefault="00B93DCC" w:rsidP="00B93DCC">
            <w:pPr>
              <w:spacing w:after="0" w:line="260" w:lineRule="exact"/>
              <w:rPr>
                <w:sz w:val="22"/>
              </w:rPr>
            </w:pPr>
            <w:r w:rsidRPr="00BA2F00">
              <w:rPr>
                <w:sz w:val="22"/>
              </w:rPr>
              <w:t>R.3.6 - Število povratnikov, ki so se vrnili prostovoljno: Dosežena vrednost je 0, cilj je 80. Po prenehanju sodelovanja z IOM so se od 2021 operacije izvajale preko ERRIN, nato od leta 2022 preko operacij Frontex, zato je napredek kazalnika nizek. Glede na to, da Frontex spreminja obseg sredstev, ki jih zagotavlja za vračanja, se kljub navedenemu pričakuje napredek kazalnika v bodoče (okvirno do 30).</w:t>
            </w:r>
          </w:p>
          <w:p w14:paraId="4D9580B1" w14:textId="5F41B2C6" w:rsidR="00B72380" w:rsidRPr="00BA2F00" w:rsidRDefault="000B7914" w:rsidP="00134689">
            <w:pPr>
              <w:spacing w:after="0" w:line="260" w:lineRule="exact"/>
              <w:rPr>
                <w:sz w:val="22"/>
              </w:rPr>
            </w:pPr>
            <w:r w:rsidRPr="00BA2F00">
              <w:rPr>
                <w:sz w:val="22"/>
              </w:rPr>
              <w:t>R.3.7</w:t>
            </w:r>
            <w:r w:rsidR="009F2F62" w:rsidRPr="00BA2F00">
              <w:rPr>
                <w:sz w:val="22"/>
              </w:rPr>
              <w:t> </w:t>
            </w:r>
            <w:r w:rsidRPr="00BA2F00">
              <w:rPr>
                <w:sz w:val="22"/>
              </w:rPr>
              <w:t>-</w:t>
            </w:r>
            <w:r w:rsidR="009F2F62" w:rsidRPr="00BA2F00">
              <w:rPr>
                <w:sz w:val="22"/>
              </w:rPr>
              <w:t> </w:t>
            </w:r>
            <w:r w:rsidRPr="00BA2F00">
              <w:rPr>
                <w:sz w:val="22"/>
              </w:rPr>
              <w:t xml:space="preserve">Število povratnikov, ki so bili odstranjeni - dosežena vrednost je 7, cilj je bil z novo verzijo programa popravljen na 336, kar je bolj realno. Tekom izvajanja programa je bilo </w:t>
            </w:r>
            <w:r w:rsidR="00291854" w:rsidRPr="00BA2F00">
              <w:rPr>
                <w:sz w:val="22"/>
              </w:rPr>
              <w:t>u</w:t>
            </w:r>
            <w:r w:rsidRPr="00BA2F00">
              <w:rPr>
                <w:sz w:val="22"/>
              </w:rPr>
              <w:t>gotovljeno, da je bila prvotno uporabljena napačna metodologija načrtovanja in spremljanja tega kazalnika</w:t>
            </w:r>
            <w:r w:rsidR="00291854" w:rsidRPr="00BA2F00">
              <w:rPr>
                <w:sz w:val="22"/>
              </w:rPr>
              <w:t xml:space="preserve"> (</w:t>
            </w:r>
            <w:r w:rsidRPr="00BA2F00">
              <w:rPr>
                <w:sz w:val="22"/>
              </w:rPr>
              <w:t>iste osebe štete večkrat</w:t>
            </w:r>
            <w:r w:rsidR="00291854" w:rsidRPr="00BA2F00">
              <w:rPr>
                <w:sz w:val="22"/>
              </w:rPr>
              <w:t>)</w:t>
            </w:r>
            <w:r w:rsidRPr="00BA2F00">
              <w:rPr>
                <w:sz w:val="22"/>
              </w:rPr>
              <w:t xml:space="preserve">. </w:t>
            </w:r>
            <w:r w:rsidR="00134689" w:rsidRPr="00BA2F00">
              <w:rPr>
                <w:sz w:val="22"/>
              </w:rPr>
              <w:t xml:space="preserve">Nižje doseganje kazalnika je vpliv poznega dejanskega začetka izvajanja projekta in financiranje teh </w:t>
            </w:r>
            <w:r w:rsidR="00291854" w:rsidRPr="00BA2F00">
              <w:rPr>
                <w:sz w:val="22"/>
              </w:rPr>
              <w:t>aktivnosti</w:t>
            </w:r>
            <w:r w:rsidR="00134689" w:rsidRPr="00BA2F00">
              <w:rPr>
                <w:sz w:val="22"/>
              </w:rPr>
              <w:t xml:space="preserve"> iz Frontex-a, ki pa ne podpira vračanj </w:t>
            </w:r>
            <w:r w:rsidR="00291854" w:rsidRPr="00BA2F00">
              <w:rPr>
                <w:sz w:val="22"/>
              </w:rPr>
              <w:t xml:space="preserve">v </w:t>
            </w:r>
            <w:r w:rsidR="00134689" w:rsidRPr="00BA2F00">
              <w:rPr>
                <w:sz w:val="22"/>
              </w:rPr>
              <w:t xml:space="preserve">vse tretje države ter ni zagotovila glede obsega teh sredstev v prihodnje. </w:t>
            </w:r>
            <w:r w:rsidR="00291854" w:rsidRPr="00BA2F00">
              <w:rPr>
                <w:sz w:val="22"/>
              </w:rPr>
              <w:t>Poleg tega je n</w:t>
            </w:r>
            <w:r w:rsidR="00134689" w:rsidRPr="00BA2F00">
              <w:rPr>
                <w:sz w:val="22"/>
              </w:rPr>
              <w:t>apredek kazalnika odvisen tudi od nacionalne strukture tujcev ter globalnih migracijskih trendov, ki vplivajo na stanje v RS.</w:t>
            </w:r>
          </w:p>
          <w:p w14:paraId="112F6E50" w14:textId="124BCB66" w:rsidR="0087657F" w:rsidRPr="00BA2F00" w:rsidRDefault="000B7914" w:rsidP="000B7914">
            <w:pPr>
              <w:spacing w:after="0" w:line="260" w:lineRule="exact"/>
              <w:rPr>
                <w:sz w:val="22"/>
                <w:highlight w:val="yellow"/>
              </w:rPr>
            </w:pPr>
            <w:r w:rsidRPr="00BA2F00">
              <w:rPr>
                <w:sz w:val="22"/>
              </w:rPr>
              <w:lastRenderedPageBreak/>
              <w:t>OU ne razpolaga z informacijami v zvezi s postopki za ugotavljanje kršitev na podlagi 258. člena Pogodbe o delovanju Evropske unije (PDEU), v povezavi z izvajanjem programa SNV.</w:t>
            </w:r>
          </w:p>
        </w:tc>
      </w:tr>
    </w:tbl>
    <w:p w14:paraId="32A9C26D" w14:textId="77777777" w:rsidR="00AB5468" w:rsidRPr="00BA2F00" w:rsidRDefault="00AB5468" w:rsidP="001E3DE5">
      <w:pPr>
        <w:pStyle w:val="ManualHeading2"/>
        <w:rPr>
          <w:sz w:val="22"/>
        </w:rPr>
      </w:pPr>
    </w:p>
    <w:p w14:paraId="3594979B" w14:textId="77777777" w:rsidR="0087657F" w:rsidRPr="00BA2F00" w:rsidRDefault="00CF7D3B" w:rsidP="001E3DE5">
      <w:pPr>
        <w:pStyle w:val="ManualHeading2"/>
        <w:rPr>
          <w:noProof/>
          <w:sz w:val="22"/>
        </w:rPr>
      </w:pPr>
      <w:r w:rsidRPr="00BA2F00">
        <w:rPr>
          <w:sz w:val="22"/>
        </w:rPr>
        <w:t>1.3.</w:t>
      </w:r>
      <w:r w:rsidRPr="00BA2F00">
        <w:rPr>
          <w:sz w:val="22"/>
        </w:rPr>
        <w:tab/>
      </w:r>
      <w:r w:rsidR="0087657F" w:rsidRPr="00BA2F00">
        <w:rPr>
          <w:noProof/>
          <w:sz w:val="22"/>
        </w:rPr>
        <w:t>Posebni blažilni ukrepi</w:t>
      </w:r>
    </w:p>
    <w:p w14:paraId="2088DE24" w14:textId="77777777" w:rsidR="0087657F" w:rsidRPr="00BA2F00" w:rsidRDefault="0087657F" w:rsidP="001E3DE5">
      <w:pPr>
        <w:pStyle w:val="Titrearticle"/>
        <w:spacing w:before="120"/>
        <w:jc w:val="both"/>
        <w:rPr>
          <w:i w:val="0"/>
          <w:noProof/>
          <w:sz w:val="22"/>
        </w:rPr>
      </w:pPr>
      <w:r w:rsidRPr="00BA2F00">
        <w:rPr>
          <w:b/>
          <w:i w:val="0"/>
          <w:noProof/>
          <w:sz w:val="22"/>
        </w:rPr>
        <w:t>Če je ustrezno</w:t>
      </w:r>
      <w:r w:rsidRPr="00BA2F00">
        <w:rPr>
          <w:i w:val="0"/>
          <w:noProof/>
          <w:sz w:val="22"/>
        </w:rPr>
        <w:t xml:space="preserve">, na kratko opišite, kako so dejavnosti programa prispevale k ublažitvi učinkov morebitnih nenadnih sprememb migracijskega pritiska, ki so posledica kakršnega koli nepredvidenega poslabšanja socialno-ekonomskih ali političnih razmer v zadevnih tretjih državah. Kadar koli je mogoče, navedite obseg sredstev, prerazporejenih v ta namen, ter s tem povezane dosežene učinke in rezultate. </w:t>
      </w:r>
    </w:p>
    <w:p w14:paraId="3DBED3D5" w14:textId="77777777" w:rsidR="0087657F" w:rsidRPr="00BA2F00" w:rsidRDefault="00A002B3" w:rsidP="001E3DE5">
      <w:pPr>
        <w:pStyle w:val="Titrearticle"/>
        <w:spacing w:before="120"/>
        <w:jc w:val="both"/>
        <w:rPr>
          <w:i w:val="0"/>
          <w:noProof/>
          <w:sz w:val="22"/>
        </w:rPr>
      </w:pPr>
      <w:r w:rsidRPr="00BA2F00">
        <w:rPr>
          <w:i w:val="0"/>
          <w:noProof/>
          <w:sz w:val="22"/>
        </w:rPr>
        <w:t xml:space="preserve">Posebno pozornost namenite dejavnostim, ki se izvajajo za ublažitev učinkov takih nenadnih sprememb in katerih dosežki morda ne bodo v celoti zajeti s skupnimi kazalniki učinka in rezultatov. </w:t>
      </w:r>
    </w:p>
    <w:tbl>
      <w:tblPr>
        <w:tblStyle w:val="Tabelamrea"/>
        <w:tblW w:w="0" w:type="auto"/>
        <w:tblLook w:val="04A0" w:firstRow="1" w:lastRow="0" w:firstColumn="1" w:lastColumn="0" w:noHBand="0" w:noVBand="1"/>
      </w:tblPr>
      <w:tblGrid>
        <w:gridCol w:w="9063"/>
      </w:tblGrid>
      <w:tr w:rsidR="00BA2F00" w:rsidRPr="00BA2F00" w14:paraId="6B567950" w14:textId="77777777" w:rsidTr="00E45665">
        <w:tc>
          <w:tcPr>
            <w:tcW w:w="9289" w:type="dxa"/>
          </w:tcPr>
          <w:p w14:paraId="5CD17A87" w14:textId="6951AEE5" w:rsidR="0087657F" w:rsidRPr="00BA2F00" w:rsidRDefault="00A61AB5" w:rsidP="001E3DE5">
            <w:pPr>
              <w:pStyle w:val="Personnequisigne"/>
              <w:jc w:val="both"/>
              <w:rPr>
                <w:i w:val="0"/>
                <w:noProof/>
                <w:sz w:val="22"/>
              </w:rPr>
            </w:pPr>
            <w:r w:rsidRPr="00BA2F00">
              <w:rPr>
                <w:i w:val="0"/>
                <w:noProof/>
                <w:sz w:val="22"/>
              </w:rPr>
              <w:t xml:space="preserve">Ocenjujemo, da so aktivnosti programa AMIF v obračunskem obdobju poročanja posredno vplivale k ublažitvi učinkov morebitnih nenadnih sprememb migracijskega pritiska, ki so posledica kakršnega koli nepredvidenega poslabšanja socialno-ekonomskih ali političnih razmer v zadevnih tretjih državah (npr. zaradi razmer na Bližnjem vzhodu, v Afganistanu, Siriji, Ukrajini), za ta namen </w:t>
            </w:r>
            <w:r w:rsidR="00EC530A" w:rsidRPr="00BA2F00">
              <w:rPr>
                <w:i w:val="0"/>
                <w:noProof/>
                <w:sz w:val="22"/>
              </w:rPr>
              <w:t xml:space="preserve">so </w:t>
            </w:r>
            <w:r w:rsidRPr="00BA2F00">
              <w:rPr>
                <w:i w:val="0"/>
                <w:noProof/>
                <w:sz w:val="22"/>
              </w:rPr>
              <w:t>bila prerazporejena sredstva</w:t>
            </w:r>
            <w:r w:rsidR="00EC530A" w:rsidRPr="00BA2F00">
              <w:rPr>
                <w:i w:val="0"/>
                <w:noProof/>
                <w:sz w:val="22"/>
              </w:rPr>
              <w:t xml:space="preserve"> za aktivnosti, ki so bile potrebne (npr. tečaji slovenskega jezika, integracijske aktivnosti, nastanitev)</w:t>
            </w:r>
            <w:r w:rsidRPr="00BA2F00">
              <w:rPr>
                <w:noProof/>
                <w:sz w:val="22"/>
              </w:rPr>
              <w:t>.</w:t>
            </w:r>
            <w:r w:rsidR="0047012F" w:rsidRPr="00BA2F00">
              <w:rPr>
                <w:i w:val="0"/>
                <w:noProof/>
                <w:sz w:val="22"/>
              </w:rPr>
              <w:t xml:space="preserve"> </w:t>
            </w:r>
          </w:p>
        </w:tc>
      </w:tr>
    </w:tbl>
    <w:p w14:paraId="6F78DDF5" w14:textId="77777777" w:rsidR="0087657F" w:rsidRPr="00BA2F00" w:rsidRDefault="00CF7D3B" w:rsidP="001E3DE5">
      <w:pPr>
        <w:pStyle w:val="ManualHeading2"/>
        <w:rPr>
          <w:noProof/>
          <w:sz w:val="22"/>
        </w:rPr>
      </w:pPr>
      <w:r w:rsidRPr="00BA2F00">
        <w:rPr>
          <w:sz w:val="22"/>
        </w:rPr>
        <w:t>1.4.</w:t>
      </w:r>
      <w:r w:rsidRPr="00BA2F00">
        <w:rPr>
          <w:sz w:val="22"/>
        </w:rPr>
        <w:tab/>
      </w:r>
      <w:r w:rsidR="0087657F" w:rsidRPr="00BA2F00">
        <w:rPr>
          <w:noProof/>
          <w:sz w:val="22"/>
        </w:rPr>
        <w:t>Operativna podpora – člen 21(3) Uredbe (EU) 2021/1147</w:t>
      </w:r>
    </w:p>
    <w:p w14:paraId="0AE7EF6D" w14:textId="77777777" w:rsidR="0087657F" w:rsidRPr="00BA2F00" w:rsidRDefault="00C62604" w:rsidP="001E3DE5">
      <w:pPr>
        <w:pStyle w:val="Titrearticle"/>
        <w:spacing w:before="120"/>
        <w:jc w:val="both"/>
        <w:rPr>
          <w:i w:val="0"/>
          <w:noProof/>
          <w:sz w:val="22"/>
        </w:rPr>
      </w:pPr>
      <w:r w:rsidRPr="00BA2F00">
        <w:rPr>
          <w:i w:val="0"/>
          <w:noProof/>
          <w:sz w:val="22"/>
        </w:rPr>
        <w:t>Če je bila med obračunskim letom uporabljena operativna podpora, opišite, kako je prispevala k doseganju ciljev Sklada</w:t>
      </w:r>
      <w:r w:rsidRPr="00BA2F00">
        <w:rPr>
          <w:rStyle w:val="Sprotnaopomba-sklic"/>
          <w:i w:val="0"/>
          <w:noProof/>
          <w:sz w:val="22"/>
        </w:rPr>
        <w:footnoteReference w:id="7"/>
      </w:r>
      <w:r w:rsidRPr="00BA2F00">
        <w:rPr>
          <w:i w:val="0"/>
          <w:noProof/>
          <w:sz w:val="22"/>
        </w:rPr>
        <w:t xml:space="preserve">. </w:t>
      </w:r>
    </w:p>
    <w:p w14:paraId="7ED8DFF7" w14:textId="77777777" w:rsidR="0087657F" w:rsidRPr="00BA2F00" w:rsidRDefault="0048297F" w:rsidP="001E3DE5">
      <w:pPr>
        <w:pStyle w:val="Titrearticle"/>
        <w:spacing w:before="120"/>
        <w:jc w:val="both"/>
        <w:rPr>
          <w:i w:val="0"/>
          <w:noProof/>
          <w:sz w:val="22"/>
        </w:rPr>
      </w:pPr>
      <w:r w:rsidRPr="00BA2F00">
        <w:rPr>
          <w:i w:val="0"/>
          <w:noProof/>
          <w:sz w:val="22"/>
        </w:rPr>
        <w:t xml:space="preserve">Če skupni kumulativni upravičeni stroški operativne podpore za operacije, izbrane za podporo, ob koncu obračunskega leta presegajo 15 % skupnih sredstev, dodeljenih programu, pojasnite razloge za to. Če obstaja tveganje, da bo prag do konca programskega obdobja presežen, opišite predvidene ukrepe za zmanjšanje tveganja. </w:t>
      </w:r>
    </w:p>
    <w:tbl>
      <w:tblPr>
        <w:tblStyle w:val="Tabelamrea"/>
        <w:tblW w:w="0" w:type="auto"/>
        <w:tblLook w:val="04A0" w:firstRow="1" w:lastRow="0" w:firstColumn="1" w:lastColumn="0" w:noHBand="0" w:noVBand="1"/>
      </w:tblPr>
      <w:tblGrid>
        <w:gridCol w:w="9063"/>
      </w:tblGrid>
      <w:tr w:rsidR="00BA2F00" w:rsidRPr="00BA2F00" w14:paraId="000DE143" w14:textId="77777777" w:rsidTr="00E45665">
        <w:tc>
          <w:tcPr>
            <w:tcW w:w="9289" w:type="dxa"/>
          </w:tcPr>
          <w:p w14:paraId="21D2EC4F" w14:textId="793D16C8" w:rsidR="007D31D4" w:rsidRPr="00BA2F00" w:rsidRDefault="005F7784" w:rsidP="001E3DE5">
            <w:pPr>
              <w:pStyle w:val="Personnequisigne"/>
              <w:jc w:val="both"/>
              <w:rPr>
                <w:i w:val="0"/>
                <w:noProof/>
                <w:sz w:val="22"/>
              </w:rPr>
            </w:pPr>
            <w:r w:rsidRPr="00BA2F00">
              <w:rPr>
                <w:i w:val="0"/>
                <w:noProof/>
                <w:sz w:val="22"/>
              </w:rPr>
              <w:t xml:space="preserve">Slovenija v obračunskem obdobju, </w:t>
            </w:r>
            <w:r w:rsidR="00C3629B" w:rsidRPr="00BA2F00">
              <w:rPr>
                <w:i w:val="0"/>
                <w:noProof/>
                <w:sz w:val="22"/>
              </w:rPr>
              <w:t>skladno z A</w:t>
            </w:r>
            <w:r w:rsidR="007D31D4" w:rsidRPr="00BA2F00">
              <w:rPr>
                <w:i w:val="0"/>
                <w:noProof/>
                <w:sz w:val="22"/>
              </w:rPr>
              <w:t>kcijskim</w:t>
            </w:r>
            <w:r w:rsidR="00C3629B" w:rsidRPr="00BA2F00">
              <w:rPr>
                <w:i w:val="0"/>
                <w:noProof/>
                <w:sz w:val="22"/>
              </w:rPr>
              <w:t xml:space="preserve"> načrtom AMIF</w:t>
            </w:r>
            <w:r w:rsidRPr="00BA2F00">
              <w:rPr>
                <w:i w:val="0"/>
                <w:noProof/>
                <w:sz w:val="22"/>
              </w:rPr>
              <w:t xml:space="preserve">, načrtuje </w:t>
            </w:r>
            <w:r w:rsidR="007D31D4" w:rsidRPr="00BA2F00">
              <w:rPr>
                <w:i w:val="0"/>
                <w:noProof/>
                <w:sz w:val="22"/>
              </w:rPr>
              <w:t>izvedbo treh operacij</w:t>
            </w:r>
            <w:r w:rsidRPr="00BA2F00">
              <w:rPr>
                <w:i w:val="0"/>
                <w:noProof/>
                <w:sz w:val="22"/>
              </w:rPr>
              <w:t xml:space="preserve"> operativne podpore (dve operaciji </w:t>
            </w:r>
            <w:r w:rsidR="007D31D4" w:rsidRPr="00BA2F00">
              <w:rPr>
                <w:i w:val="0"/>
                <w:noProof/>
                <w:sz w:val="22"/>
              </w:rPr>
              <w:t>iz</w:t>
            </w:r>
            <w:r w:rsidRPr="00BA2F00">
              <w:rPr>
                <w:i w:val="0"/>
                <w:noProof/>
                <w:sz w:val="22"/>
              </w:rPr>
              <w:t xml:space="preserve"> SO</w:t>
            </w:r>
            <w:r w:rsidR="007D31D4" w:rsidRPr="00BA2F00">
              <w:rPr>
                <w:i w:val="0"/>
                <w:noProof/>
                <w:sz w:val="22"/>
              </w:rPr>
              <w:t>1 in eno iz</w:t>
            </w:r>
            <w:r w:rsidRPr="00BA2F00">
              <w:rPr>
                <w:i w:val="0"/>
                <w:noProof/>
                <w:sz w:val="22"/>
              </w:rPr>
              <w:t xml:space="preserve"> SO2)</w:t>
            </w:r>
            <w:r w:rsidR="00481C20" w:rsidRPr="00BA2F00">
              <w:rPr>
                <w:i w:val="0"/>
                <w:noProof/>
                <w:sz w:val="22"/>
              </w:rPr>
              <w:t>.</w:t>
            </w:r>
          </w:p>
          <w:p w14:paraId="3B9DE556" w14:textId="77777777" w:rsidR="00481C20" w:rsidRPr="00BA2F00" w:rsidRDefault="00481C20" w:rsidP="001E3DE5">
            <w:pPr>
              <w:pStyle w:val="Personnequisigne"/>
              <w:jc w:val="both"/>
              <w:rPr>
                <w:i w:val="0"/>
                <w:noProof/>
                <w:sz w:val="22"/>
              </w:rPr>
            </w:pPr>
          </w:p>
          <w:p w14:paraId="4B9FB263" w14:textId="4C9CEF87" w:rsidR="00C35BBC" w:rsidRPr="00BA2F00" w:rsidRDefault="007D31D4" w:rsidP="001E3DE5">
            <w:pPr>
              <w:pStyle w:val="Personnequisigne"/>
              <w:jc w:val="both"/>
              <w:rPr>
                <w:i w:val="0"/>
                <w:noProof/>
                <w:sz w:val="22"/>
              </w:rPr>
            </w:pPr>
            <w:r w:rsidRPr="00BA2F00">
              <w:rPr>
                <w:i w:val="0"/>
                <w:noProof/>
                <w:sz w:val="22"/>
              </w:rPr>
              <w:t>Trenutna načrtovana višina</w:t>
            </w:r>
            <w:r w:rsidR="00234954" w:rsidRPr="00BA2F00">
              <w:rPr>
                <w:i w:val="0"/>
                <w:noProof/>
                <w:sz w:val="22"/>
              </w:rPr>
              <w:t xml:space="preserve"> operativne podpore</w:t>
            </w:r>
            <w:r w:rsidRPr="00BA2F00">
              <w:rPr>
                <w:i w:val="0"/>
                <w:noProof/>
                <w:sz w:val="22"/>
              </w:rPr>
              <w:t xml:space="preserve"> je nižja od 15% skupnih sredstev, dodeljenih programu </w:t>
            </w:r>
            <w:r w:rsidR="00234954" w:rsidRPr="00BA2F00">
              <w:rPr>
                <w:i w:val="0"/>
                <w:noProof/>
                <w:sz w:val="22"/>
              </w:rPr>
              <w:t>AMI</w:t>
            </w:r>
            <w:r w:rsidR="00CC05A8" w:rsidRPr="00BA2F00">
              <w:rPr>
                <w:i w:val="0"/>
                <w:noProof/>
                <w:sz w:val="22"/>
              </w:rPr>
              <w:t>F</w:t>
            </w:r>
            <w:r w:rsidR="00234954" w:rsidRPr="00BA2F00">
              <w:rPr>
                <w:i w:val="0"/>
                <w:noProof/>
                <w:sz w:val="22"/>
              </w:rPr>
              <w:t>, zato ni tveganja, da bi bila do konca programskega obdobja presežena.</w:t>
            </w:r>
            <w:r w:rsidR="002379DB" w:rsidRPr="00BA2F00">
              <w:rPr>
                <w:i w:val="0"/>
                <w:noProof/>
                <w:sz w:val="22"/>
              </w:rPr>
              <w:t xml:space="preserve"> </w:t>
            </w:r>
          </w:p>
          <w:p w14:paraId="73367FAA" w14:textId="77777777" w:rsidR="00C35BBC" w:rsidRPr="00BA2F00" w:rsidRDefault="00C35BBC" w:rsidP="001E3DE5">
            <w:pPr>
              <w:pStyle w:val="Personnequisigne"/>
              <w:jc w:val="both"/>
              <w:rPr>
                <w:i w:val="0"/>
                <w:noProof/>
                <w:sz w:val="22"/>
              </w:rPr>
            </w:pPr>
          </w:p>
          <w:p w14:paraId="575249CD" w14:textId="2B31D008" w:rsidR="005D5204" w:rsidRPr="00BA2F00" w:rsidRDefault="005D5204" w:rsidP="001E3DE5">
            <w:pPr>
              <w:pStyle w:val="Personnequisigne"/>
              <w:jc w:val="both"/>
              <w:rPr>
                <w:i w:val="0"/>
                <w:iCs/>
                <w:sz w:val="22"/>
              </w:rPr>
            </w:pPr>
            <w:r w:rsidRPr="00BA2F00">
              <w:rPr>
                <w:i w:val="0"/>
                <w:iCs/>
                <w:sz w:val="22"/>
              </w:rPr>
              <w:t>UO</w:t>
            </w:r>
            <w:r w:rsidR="00FB5A81" w:rsidRPr="00BA2F00">
              <w:rPr>
                <w:i w:val="0"/>
                <w:iCs/>
                <w:sz w:val="22"/>
              </w:rPr>
              <w:t>I</w:t>
            </w:r>
            <w:r w:rsidRPr="00BA2F00">
              <w:rPr>
                <w:i w:val="0"/>
                <w:iCs/>
                <w:sz w:val="22"/>
              </w:rPr>
              <w:t>M aktivnosti operativne</w:t>
            </w:r>
            <w:r w:rsidR="002379DB" w:rsidRPr="00BA2F00">
              <w:rPr>
                <w:i w:val="0"/>
                <w:iCs/>
                <w:sz w:val="22"/>
              </w:rPr>
              <w:t xml:space="preserve"> podpor</w:t>
            </w:r>
            <w:r w:rsidR="00FB5A81" w:rsidRPr="00BA2F00">
              <w:rPr>
                <w:i w:val="0"/>
                <w:iCs/>
                <w:sz w:val="22"/>
              </w:rPr>
              <w:t>e</w:t>
            </w:r>
            <w:r w:rsidR="002379DB" w:rsidRPr="00BA2F00">
              <w:rPr>
                <w:i w:val="0"/>
                <w:iCs/>
                <w:sz w:val="22"/>
              </w:rPr>
              <w:t xml:space="preserve"> trenutno še ne izvaja. </w:t>
            </w:r>
            <w:r w:rsidRPr="00BA2F00">
              <w:rPr>
                <w:i w:val="0"/>
                <w:iCs/>
                <w:sz w:val="22"/>
              </w:rPr>
              <w:t>Postopk</w:t>
            </w:r>
            <w:r w:rsidR="00FB5A81" w:rsidRPr="00BA2F00">
              <w:rPr>
                <w:i w:val="0"/>
                <w:iCs/>
                <w:sz w:val="22"/>
              </w:rPr>
              <w:t>i</w:t>
            </w:r>
            <w:r w:rsidRPr="00BA2F00">
              <w:rPr>
                <w:i w:val="0"/>
                <w:iCs/>
                <w:sz w:val="22"/>
              </w:rPr>
              <w:t xml:space="preserve"> za zaposlitev</w:t>
            </w:r>
            <w:r w:rsidR="002379DB" w:rsidRPr="00BA2F00">
              <w:rPr>
                <w:i w:val="0"/>
                <w:iCs/>
                <w:sz w:val="22"/>
              </w:rPr>
              <w:t xml:space="preserve"> so se večkrat ponovili, </w:t>
            </w:r>
            <w:r w:rsidRPr="00BA2F00">
              <w:rPr>
                <w:i w:val="0"/>
                <w:iCs/>
                <w:sz w:val="22"/>
              </w:rPr>
              <w:t>a žal neuspešno. Ponovno bo ponovljen</w:t>
            </w:r>
            <w:r w:rsidR="002379DB" w:rsidRPr="00BA2F00">
              <w:rPr>
                <w:i w:val="0"/>
                <w:iCs/>
                <w:sz w:val="22"/>
              </w:rPr>
              <w:t xml:space="preserve"> razpis za to delovno mesto v letu </w:t>
            </w:r>
            <w:r w:rsidR="002C3B55" w:rsidRPr="00BA2F00">
              <w:rPr>
                <w:i w:val="0"/>
                <w:iCs/>
                <w:sz w:val="22"/>
              </w:rPr>
              <w:t>2025 in pričakujemo, da bo izbrana primerna oseba in se bo</w:t>
            </w:r>
            <w:r w:rsidR="005B4754" w:rsidRPr="00BA2F00">
              <w:rPr>
                <w:i w:val="0"/>
                <w:iCs/>
                <w:sz w:val="22"/>
              </w:rPr>
              <w:t xml:space="preserve">do sredstva </w:t>
            </w:r>
            <w:r w:rsidR="002C3B55" w:rsidRPr="00BA2F00">
              <w:rPr>
                <w:i w:val="0"/>
                <w:iCs/>
                <w:sz w:val="22"/>
              </w:rPr>
              <w:t>operacij lahko začel</w:t>
            </w:r>
            <w:r w:rsidR="005B4754" w:rsidRPr="00BA2F00">
              <w:rPr>
                <w:i w:val="0"/>
                <w:iCs/>
                <w:sz w:val="22"/>
              </w:rPr>
              <w:t>a</w:t>
            </w:r>
            <w:r w:rsidR="002C3B55" w:rsidRPr="00BA2F00">
              <w:rPr>
                <w:i w:val="0"/>
                <w:iCs/>
                <w:sz w:val="22"/>
              </w:rPr>
              <w:t xml:space="preserve"> koristiti.</w:t>
            </w:r>
          </w:p>
          <w:p w14:paraId="4B65ADE6" w14:textId="77777777" w:rsidR="005D5204" w:rsidRPr="00BA2F00" w:rsidRDefault="005D5204" w:rsidP="001E3DE5">
            <w:pPr>
              <w:pStyle w:val="Personnequisigne"/>
              <w:jc w:val="both"/>
              <w:rPr>
                <w:i w:val="0"/>
                <w:iCs/>
                <w:sz w:val="22"/>
              </w:rPr>
            </w:pPr>
          </w:p>
          <w:p w14:paraId="61150FD9" w14:textId="571F75B8" w:rsidR="005D5204" w:rsidRPr="00BA2F00" w:rsidRDefault="005D5204" w:rsidP="001E3DE5">
            <w:pPr>
              <w:pStyle w:val="Personnequisigne"/>
              <w:jc w:val="both"/>
              <w:rPr>
                <w:i w:val="0"/>
                <w:iCs/>
                <w:sz w:val="22"/>
              </w:rPr>
            </w:pPr>
            <w:r w:rsidRPr="00BA2F00">
              <w:rPr>
                <w:i w:val="0"/>
                <w:sz w:val="22"/>
              </w:rPr>
              <w:t>Ministrstvo za notranje zadeve, Direktorat za migracije, načrtuj</w:t>
            </w:r>
            <w:r w:rsidR="00481C20" w:rsidRPr="00BA2F00">
              <w:rPr>
                <w:i w:val="0"/>
                <w:sz w:val="22"/>
              </w:rPr>
              <w:t xml:space="preserve">e </w:t>
            </w:r>
            <w:r w:rsidRPr="00BA2F00">
              <w:rPr>
                <w:i w:val="0"/>
                <w:sz w:val="22"/>
              </w:rPr>
              <w:t>aktivnosti v zvezi z operativno pomočjo z</w:t>
            </w:r>
            <w:r w:rsidR="00481C20" w:rsidRPr="00BA2F00">
              <w:rPr>
                <w:i w:val="0"/>
                <w:sz w:val="22"/>
              </w:rPr>
              <w:t xml:space="preserve">a </w:t>
            </w:r>
            <w:r w:rsidRPr="00BA2F00">
              <w:rPr>
                <w:i w:val="0"/>
                <w:sz w:val="22"/>
              </w:rPr>
              <w:t>implementacijo Pakta</w:t>
            </w:r>
            <w:r w:rsidR="0025250A" w:rsidRPr="00BA2F00">
              <w:rPr>
                <w:i w:val="0"/>
                <w:sz w:val="22"/>
              </w:rPr>
              <w:t xml:space="preserve"> o migracijah </w:t>
            </w:r>
            <w:r w:rsidR="005637B0" w:rsidRPr="00BA2F00">
              <w:rPr>
                <w:i w:val="0"/>
                <w:sz w:val="22"/>
              </w:rPr>
              <w:t xml:space="preserve">in azilu </w:t>
            </w:r>
            <w:r w:rsidR="0025250A" w:rsidRPr="00BA2F00">
              <w:rPr>
                <w:i w:val="0"/>
                <w:sz w:val="22"/>
              </w:rPr>
              <w:t>- kadrovska in infrastrukturna podpora.</w:t>
            </w:r>
            <w:r w:rsidR="00481C20" w:rsidRPr="00BA2F00">
              <w:rPr>
                <w:i w:val="0"/>
                <w:sz w:val="22"/>
              </w:rPr>
              <w:t xml:space="preserve"> V obdobju poročanja so bili kupljeni računalniki, postopki za zaposlitev pa so še v izvajanju.</w:t>
            </w:r>
          </w:p>
        </w:tc>
      </w:tr>
    </w:tbl>
    <w:p w14:paraId="2F876A42" w14:textId="77777777" w:rsidR="0087657F" w:rsidRPr="00BA2F00" w:rsidRDefault="00CF7D3B" w:rsidP="001E3DE5">
      <w:pPr>
        <w:pStyle w:val="ManualHeading2"/>
        <w:rPr>
          <w:noProof/>
          <w:sz w:val="22"/>
        </w:rPr>
      </w:pPr>
      <w:r w:rsidRPr="00BA2F00">
        <w:rPr>
          <w:sz w:val="22"/>
        </w:rPr>
        <w:t>1.5.</w:t>
      </w:r>
      <w:r w:rsidRPr="00BA2F00">
        <w:rPr>
          <w:sz w:val="22"/>
        </w:rPr>
        <w:tab/>
      </w:r>
      <w:r w:rsidR="0087657F" w:rsidRPr="00BA2F00">
        <w:rPr>
          <w:noProof/>
          <w:sz w:val="22"/>
        </w:rPr>
        <w:t>Posebni ukrepi</w:t>
      </w:r>
      <w:r w:rsidR="0087657F" w:rsidRPr="00BA2F00">
        <w:rPr>
          <w:rStyle w:val="Sprotnaopomba-sklic"/>
          <w:noProof/>
          <w:sz w:val="22"/>
        </w:rPr>
        <w:footnoteReference w:id="8"/>
      </w:r>
      <w:r w:rsidR="0087657F" w:rsidRPr="00BA2F00">
        <w:rPr>
          <w:noProof/>
          <w:sz w:val="22"/>
        </w:rPr>
        <w:t xml:space="preserve"> </w:t>
      </w:r>
    </w:p>
    <w:p w14:paraId="7904322D" w14:textId="77777777" w:rsidR="0087657F" w:rsidRPr="00BA2F00" w:rsidRDefault="00804283" w:rsidP="001E3DE5">
      <w:pPr>
        <w:pStyle w:val="Titrearticle"/>
        <w:spacing w:before="120"/>
        <w:jc w:val="both"/>
        <w:rPr>
          <w:i w:val="0"/>
          <w:noProof/>
          <w:sz w:val="22"/>
        </w:rPr>
      </w:pPr>
      <w:r w:rsidRPr="00BA2F00">
        <w:rPr>
          <w:i w:val="0"/>
          <w:noProof/>
          <w:sz w:val="22"/>
        </w:rPr>
        <w:t>Opišite glavne dosežke vseh posebnih ukrepov, izvedenih med obračunskim letom, ter kako so ti ukrepi prispevali k doseganju ciljev programa in ustvarjanju dodane vrednosti Unije</w:t>
      </w:r>
      <w:r w:rsidRPr="00BA2F00">
        <w:rPr>
          <w:rStyle w:val="Sprotnaopomba-sklic"/>
          <w:i w:val="0"/>
          <w:noProof/>
          <w:sz w:val="22"/>
        </w:rPr>
        <w:footnoteReference w:id="9"/>
      </w:r>
      <w:r w:rsidRPr="00BA2F00">
        <w:rPr>
          <w:i w:val="0"/>
          <w:noProof/>
          <w:sz w:val="22"/>
        </w:rPr>
        <w:t xml:space="preserve">. </w:t>
      </w:r>
    </w:p>
    <w:p w14:paraId="3105EBC6" w14:textId="77777777" w:rsidR="00CD67EB" w:rsidRPr="00BA2F00" w:rsidRDefault="00804283" w:rsidP="001E3DE5">
      <w:pPr>
        <w:pStyle w:val="Titrearticle"/>
        <w:spacing w:before="120"/>
        <w:jc w:val="both"/>
        <w:rPr>
          <w:i w:val="0"/>
          <w:noProof/>
          <w:sz w:val="22"/>
        </w:rPr>
      </w:pPr>
      <w:r w:rsidRPr="00BA2F00">
        <w:rPr>
          <w:i w:val="0"/>
          <w:noProof/>
          <w:sz w:val="22"/>
        </w:rPr>
        <w:t>Opišite, kako so posamezni ukrepi napredovali, tako postopkovno</w:t>
      </w:r>
      <w:r w:rsidRPr="00BA2F00">
        <w:rPr>
          <w:rStyle w:val="Sprotnaopomba-sklic"/>
          <w:i w:val="0"/>
          <w:noProof/>
          <w:sz w:val="22"/>
        </w:rPr>
        <w:footnoteReference w:id="10"/>
      </w:r>
      <w:r w:rsidRPr="00BA2F00">
        <w:rPr>
          <w:i w:val="0"/>
          <w:noProof/>
          <w:sz w:val="22"/>
        </w:rPr>
        <w:t xml:space="preserve"> kot operativno</w:t>
      </w:r>
      <w:r w:rsidRPr="00BA2F00">
        <w:rPr>
          <w:rStyle w:val="Sprotnaopomba-sklic"/>
          <w:i w:val="0"/>
          <w:noProof/>
          <w:sz w:val="22"/>
        </w:rPr>
        <w:footnoteReference w:id="11"/>
      </w:r>
      <w:r w:rsidRPr="00BA2F00">
        <w:rPr>
          <w:i w:val="0"/>
          <w:noProof/>
          <w:sz w:val="22"/>
        </w:rPr>
        <w:t xml:space="preserve">, in izpostavite morebitna vprašanja, ki vplivajo na njihovo uspešnost, zlasti morebitno tveganje premajhne porabe. </w:t>
      </w:r>
    </w:p>
    <w:p w14:paraId="4B32D57C" w14:textId="77777777" w:rsidR="0087657F" w:rsidRPr="00BA2F00" w:rsidRDefault="0087657F" w:rsidP="001E3DE5">
      <w:pPr>
        <w:pStyle w:val="Titrearticle"/>
        <w:spacing w:before="120"/>
        <w:jc w:val="both"/>
        <w:rPr>
          <w:i w:val="0"/>
          <w:noProof/>
          <w:sz w:val="22"/>
        </w:rPr>
      </w:pPr>
      <w:r w:rsidRPr="00BA2F00">
        <w:rPr>
          <w:i w:val="0"/>
          <w:noProof/>
          <w:sz w:val="22"/>
        </w:rPr>
        <w:t>Če je ustrezno, te informacije razčlenite na raven projektov. Če se pričakuje kakršno koli odstopanje od prvotnega načrtovanja, pojasnite razloge za to, opišite morebitne sprejete blažilne ukrepe in predložite spremenjeni časovni razpored.</w:t>
      </w:r>
    </w:p>
    <w:tbl>
      <w:tblPr>
        <w:tblStyle w:val="Tabelamrea"/>
        <w:tblW w:w="0" w:type="auto"/>
        <w:tblLook w:val="04A0" w:firstRow="1" w:lastRow="0" w:firstColumn="1" w:lastColumn="0" w:noHBand="0" w:noVBand="1"/>
      </w:tblPr>
      <w:tblGrid>
        <w:gridCol w:w="9063"/>
      </w:tblGrid>
      <w:tr w:rsidR="00BA2F00" w:rsidRPr="00BA2F00" w14:paraId="1B8E3ADB" w14:textId="77777777" w:rsidTr="00E45665">
        <w:tc>
          <w:tcPr>
            <w:tcW w:w="9289" w:type="dxa"/>
          </w:tcPr>
          <w:p w14:paraId="7834C59E" w14:textId="77777777" w:rsidR="0087657F" w:rsidRPr="00BA2F00" w:rsidRDefault="00B511F2" w:rsidP="001E3DE5">
            <w:pPr>
              <w:pStyle w:val="Personnequisigne"/>
              <w:jc w:val="both"/>
              <w:rPr>
                <w:i w:val="0"/>
                <w:noProof/>
                <w:sz w:val="22"/>
              </w:rPr>
            </w:pPr>
            <w:r w:rsidRPr="00BA2F00">
              <w:rPr>
                <w:i w:val="0"/>
                <w:noProof/>
                <w:sz w:val="22"/>
              </w:rPr>
              <w:t xml:space="preserve">Slovenija </w:t>
            </w:r>
            <w:r w:rsidR="00F533D5" w:rsidRPr="00BA2F00">
              <w:rPr>
                <w:i w:val="0"/>
                <w:noProof/>
                <w:sz w:val="22"/>
              </w:rPr>
              <w:t xml:space="preserve">v obračunskem obdobju poročanja </w:t>
            </w:r>
            <w:r w:rsidR="009A6F1F" w:rsidRPr="00BA2F00">
              <w:rPr>
                <w:i w:val="0"/>
                <w:noProof/>
                <w:sz w:val="22"/>
              </w:rPr>
              <w:t xml:space="preserve">v program AMIF </w:t>
            </w:r>
            <w:r w:rsidRPr="00BA2F00">
              <w:rPr>
                <w:i w:val="0"/>
                <w:noProof/>
                <w:sz w:val="22"/>
              </w:rPr>
              <w:t>ni</w:t>
            </w:r>
            <w:r w:rsidR="00D91A8B" w:rsidRPr="00BA2F00">
              <w:rPr>
                <w:i w:val="0"/>
                <w:noProof/>
                <w:sz w:val="22"/>
              </w:rPr>
              <w:t xml:space="preserve"> </w:t>
            </w:r>
            <w:r w:rsidRPr="00BA2F00">
              <w:rPr>
                <w:i w:val="0"/>
                <w:noProof/>
                <w:sz w:val="22"/>
              </w:rPr>
              <w:t>vključila p</w:t>
            </w:r>
            <w:r w:rsidR="00D91A8B" w:rsidRPr="00BA2F00">
              <w:rPr>
                <w:i w:val="0"/>
                <w:noProof/>
                <w:sz w:val="22"/>
              </w:rPr>
              <w:t>osebni</w:t>
            </w:r>
            <w:r w:rsidRPr="00BA2F00">
              <w:rPr>
                <w:i w:val="0"/>
                <w:noProof/>
                <w:sz w:val="22"/>
              </w:rPr>
              <w:t xml:space="preserve">h </w:t>
            </w:r>
            <w:r w:rsidR="00D91A8B" w:rsidRPr="00BA2F00">
              <w:rPr>
                <w:i w:val="0"/>
                <w:noProof/>
                <w:sz w:val="22"/>
              </w:rPr>
              <w:t>u</w:t>
            </w:r>
            <w:r w:rsidRPr="00BA2F00">
              <w:rPr>
                <w:i w:val="0"/>
                <w:noProof/>
                <w:sz w:val="22"/>
              </w:rPr>
              <w:t>krepov.</w:t>
            </w:r>
          </w:p>
        </w:tc>
      </w:tr>
    </w:tbl>
    <w:p w14:paraId="3A74B229" w14:textId="77777777" w:rsidR="0087657F" w:rsidRPr="00BA2F00" w:rsidRDefault="0060652B" w:rsidP="001E3DE5">
      <w:pPr>
        <w:keepNext/>
        <w:rPr>
          <w:noProof/>
          <w:sz w:val="22"/>
        </w:rPr>
      </w:pPr>
      <w:r w:rsidRPr="00BA2F00">
        <w:rPr>
          <w:noProof/>
          <w:sz w:val="22"/>
        </w:rPr>
        <w:t>V spodnjo preglednico vpišite podrobnosti o vseh posebnih nacionalnih ukrepih, ki se izvajajo v okviru programa. Poročanje o posebnih nadnacionalnih ukrepih bi moralo biti skladno z izbrano možnostjo poročanja</w:t>
      </w:r>
      <w:r w:rsidRPr="00BA2F00">
        <w:rPr>
          <w:rStyle w:val="Sprotnaopomba-sklic"/>
          <w:noProof/>
          <w:sz w:val="22"/>
        </w:rPr>
        <w:footnoteReference w:id="12"/>
      </w:r>
      <w:r w:rsidRPr="00BA2F00">
        <w:rPr>
          <w:noProof/>
          <w:sz w:val="22"/>
        </w:rPr>
        <w:t>.</w:t>
      </w:r>
    </w:p>
    <w:tbl>
      <w:tblPr>
        <w:tblStyle w:val="Tabelamrea"/>
        <w:tblW w:w="9242" w:type="dxa"/>
        <w:tblLayout w:type="fixed"/>
        <w:tblCellMar>
          <w:left w:w="28" w:type="dxa"/>
          <w:right w:w="28" w:type="dxa"/>
        </w:tblCellMar>
        <w:tblLook w:val="04A0" w:firstRow="1" w:lastRow="0" w:firstColumn="1" w:lastColumn="0" w:noHBand="0" w:noVBand="1"/>
      </w:tblPr>
      <w:tblGrid>
        <w:gridCol w:w="879"/>
        <w:gridCol w:w="1134"/>
        <w:gridCol w:w="1243"/>
        <w:gridCol w:w="1025"/>
        <w:gridCol w:w="992"/>
        <w:gridCol w:w="992"/>
        <w:gridCol w:w="1364"/>
        <w:gridCol w:w="1613"/>
      </w:tblGrid>
      <w:tr w:rsidR="00BA2F00" w:rsidRPr="00BA2F00" w14:paraId="1D4E2BC6" w14:textId="77777777" w:rsidTr="00CB5B10">
        <w:trPr>
          <w:trHeight w:val="431"/>
        </w:trPr>
        <w:tc>
          <w:tcPr>
            <w:tcW w:w="879" w:type="dxa"/>
            <w:vMerge w:val="restart"/>
            <w:vAlign w:val="center"/>
          </w:tcPr>
          <w:p w14:paraId="29E39721" w14:textId="77777777" w:rsidR="0087657F" w:rsidRPr="00BA2F00" w:rsidRDefault="0087657F" w:rsidP="001E3DE5">
            <w:pPr>
              <w:pStyle w:val="Institutionquisigne"/>
              <w:spacing w:before="0"/>
              <w:rPr>
                <w:i w:val="0"/>
                <w:noProof/>
                <w:sz w:val="22"/>
              </w:rPr>
            </w:pPr>
            <w:r w:rsidRPr="00BA2F00">
              <w:rPr>
                <w:i w:val="0"/>
                <w:noProof/>
                <w:sz w:val="22"/>
              </w:rPr>
              <w:t>Specifični cilj</w:t>
            </w:r>
          </w:p>
        </w:tc>
        <w:tc>
          <w:tcPr>
            <w:tcW w:w="1134" w:type="dxa"/>
            <w:vMerge w:val="restart"/>
            <w:vAlign w:val="center"/>
          </w:tcPr>
          <w:p w14:paraId="1B29845D" w14:textId="77777777" w:rsidR="0087657F" w:rsidRPr="00BA2F00" w:rsidRDefault="0087657F" w:rsidP="001E3DE5">
            <w:pPr>
              <w:rPr>
                <w:noProof/>
                <w:sz w:val="22"/>
              </w:rPr>
            </w:pPr>
            <w:r w:rsidRPr="00BA2F00">
              <w:rPr>
                <w:noProof/>
                <w:sz w:val="22"/>
              </w:rPr>
              <w:t>Ime / referenčna številka ukrepa</w:t>
            </w:r>
          </w:p>
        </w:tc>
        <w:tc>
          <w:tcPr>
            <w:tcW w:w="1243" w:type="dxa"/>
            <w:vMerge w:val="restart"/>
            <w:vAlign w:val="center"/>
          </w:tcPr>
          <w:p w14:paraId="22C7A02E" w14:textId="77777777" w:rsidR="0087657F" w:rsidRPr="00BA2F00" w:rsidRDefault="0087657F" w:rsidP="001E3DE5">
            <w:pPr>
              <w:pStyle w:val="Institutionquisigne"/>
              <w:spacing w:before="0"/>
              <w:rPr>
                <w:i w:val="0"/>
                <w:noProof/>
                <w:sz w:val="22"/>
              </w:rPr>
            </w:pPr>
            <w:r w:rsidRPr="00BA2F00">
              <w:rPr>
                <w:i w:val="0"/>
                <w:noProof/>
                <w:sz w:val="22"/>
              </w:rPr>
              <w:t>Upravičenec</w:t>
            </w:r>
          </w:p>
        </w:tc>
        <w:tc>
          <w:tcPr>
            <w:tcW w:w="1025" w:type="dxa"/>
            <w:vMerge w:val="restart"/>
            <w:vAlign w:val="center"/>
          </w:tcPr>
          <w:p w14:paraId="5F58C79F" w14:textId="77777777" w:rsidR="0087657F" w:rsidRPr="00BA2F00" w:rsidRDefault="0087657F" w:rsidP="001E3DE5">
            <w:pPr>
              <w:pStyle w:val="Institutionquisigne"/>
              <w:spacing w:before="0"/>
              <w:rPr>
                <w:i w:val="0"/>
                <w:noProof/>
                <w:sz w:val="22"/>
              </w:rPr>
            </w:pPr>
            <w:r w:rsidRPr="00BA2F00">
              <w:rPr>
                <w:i w:val="0"/>
                <w:noProof/>
                <w:sz w:val="22"/>
              </w:rPr>
              <w:t>Obdobje izvajanja</w:t>
            </w:r>
          </w:p>
        </w:tc>
        <w:tc>
          <w:tcPr>
            <w:tcW w:w="992" w:type="dxa"/>
            <w:vMerge w:val="restart"/>
            <w:vAlign w:val="center"/>
          </w:tcPr>
          <w:p w14:paraId="6BEF0077" w14:textId="77777777" w:rsidR="0087657F" w:rsidRPr="00BA2F00" w:rsidRDefault="0087657F" w:rsidP="001E3DE5">
            <w:pPr>
              <w:pStyle w:val="Institutionquisigne"/>
              <w:spacing w:before="0"/>
              <w:rPr>
                <w:i w:val="0"/>
                <w:noProof/>
                <w:sz w:val="22"/>
              </w:rPr>
            </w:pPr>
            <w:r w:rsidRPr="00BA2F00">
              <w:rPr>
                <w:i w:val="0"/>
                <w:noProof/>
                <w:sz w:val="22"/>
              </w:rPr>
              <w:t>Upravičeni stroški</w:t>
            </w:r>
            <w:r w:rsidRPr="00BA2F00">
              <w:rPr>
                <w:rStyle w:val="Sprotnaopomba-sklic"/>
                <w:i w:val="0"/>
                <w:noProof/>
                <w:sz w:val="22"/>
              </w:rPr>
              <w:footnoteReference w:id="13"/>
            </w:r>
          </w:p>
        </w:tc>
        <w:tc>
          <w:tcPr>
            <w:tcW w:w="992" w:type="dxa"/>
            <w:vMerge w:val="restart"/>
            <w:vAlign w:val="center"/>
          </w:tcPr>
          <w:p w14:paraId="4AF1D00A" w14:textId="77777777" w:rsidR="0087657F" w:rsidRPr="00BA2F00" w:rsidRDefault="0087657F" w:rsidP="001E3DE5">
            <w:pPr>
              <w:pStyle w:val="Institutionquisigne"/>
              <w:spacing w:before="0"/>
              <w:rPr>
                <w:i w:val="0"/>
                <w:noProof/>
                <w:sz w:val="22"/>
              </w:rPr>
            </w:pPr>
            <w:r w:rsidRPr="00BA2F00">
              <w:rPr>
                <w:i w:val="0"/>
                <w:noProof/>
                <w:sz w:val="22"/>
              </w:rPr>
              <w:t>Upravičeni izdatki</w:t>
            </w:r>
            <w:r w:rsidRPr="00BA2F00">
              <w:rPr>
                <w:rStyle w:val="Sprotnaopomba-sklic"/>
                <w:i w:val="0"/>
                <w:noProof/>
                <w:sz w:val="22"/>
              </w:rPr>
              <w:footnoteReference w:id="14"/>
            </w:r>
          </w:p>
        </w:tc>
        <w:tc>
          <w:tcPr>
            <w:tcW w:w="2977" w:type="dxa"/>
            <w:gridSpan w:val="2"/>
            <w:vAlign w:val="center"/>
          </w:tcPr>
          <w:p w14:paraId="39C6DE62" w14:textId="77777777" w:rsidR="0087657F" w:rsidRPr="00BA2F00" w:rsidRDefault="0087657F" w:rsidP="001E3DE5">
            <w:pPr>
              <w:rPr>
                <w:noProof/>
                <w:sz w:val="22"/>
              </w:rPr>
            </w:pPr>
            <w:r w:rsidRPr="00BA2F00">
              <w:rPr>
                <w:noProof/>
                <w:sz w:val="22"/>
              </w:rPr>
              <w:t>Napredek pri ustreznih skupnih kazalnikih in/ali kazalnikih za posamezne programe</w:t>
            </w:r>
            <w:r w:rsidRPr="00BA2F00">
              <w:rPr>
                <w:rStyle w:val="Sprotnaopomba-sklic"/>
                <w:noProof/>
                <w:sz w:val="22"/>
              </w:rPr>
              <w:footnoteReference w:id="15"/>
            </w:r>
          </w:p>
        </w:tc>
      </w:tr>
      <w:tr w:rsidR="00BA2F00" w:rsidRPr="00BA2F00" w14:paraId="45922DA6" w14:textId="77777777" w:rsidTr="00CB5B10">
        <w:tc>
          <w:tcPr>
            <w:tcW w:w="879" w:type="dxa"/>
            <w:vMerge/>
            <w:vAlign w:val="center"/>
          </w:tcPr>
          <w:p w14:paraId="5AF1FA0F" w14:textId="77777777" w:rsidR="0087657F" w:rsidRPr="00BA2F00" w:rsidRDefault="0087657F" w:rsidP="001E3DE5">
            <w:pPr>
              <w:pStyle w:val="Institutionquisigne"/>
              <w:spacing w:before="0"/>
              <w:rPr>
                <w:i w:val="0"/>
                <w:noProof/>
                <w:sz w:val="22"/>
              </w:rPr>
            </w:pPr>
          </w:p>
        </w:tc>
        <w:tc>
          <w:tcPr>
            <w:tcW w:w="1134" w:type="dxa"/>
            <w:vMerge/>
            <w:vAlign w:val="center"/>
          </w:tcPr>
          <w:p w14:paraId="1012F4F5" w14:textId="77777777" w:rsidR="0087657F" w:rsidRPr="00BA2F00" w:rsidRDefault="0087657F" w:rsidP="001E3DE5">
            <w:pPr>
              <w:pStyle w:val="Institutionquisigne"/>
              <w:spacing w:before="0"/>
              <w:rPr>
                <w:i w:val="0"/>
                <w:noProof/>
                <w:sz w:val="22"/>
              </w:rPr>
            </w:pPr>
          </w:p>
        </w:tc>
        <w:tc>
          <w:tcPr>
            <w:tcW w:w="1243" w:type="dxa"/>
            <w:vMerge/>
            <w:vAlign w:val="center"/>
          </w:tcPr>
          <w:p w14:paraId="424C16DF" w14:textId="77777777" w:rsidR="0087657F" w:rsidRPr="00BA2F00" w:rsidRDefault="0087657F" w:rsidP="001E3DE5">
            <w:pPr>
              <w:pStyle w:val="Institutionquisigne"/>
              <w:spacing w:before="0"/>
              <w:rPr>
                <w:i w:val="0"/>
                <w:noProof/>
                <w:sz w:val="22"/>
              </w:rPr>
            </w:pPr>
          </w:p>
        </w:tc>
        <w:tc>
          <w:tcPr>
            <w:tcW w:w="1025" w:type="dxa"/>
            <w:vMerge/>
            <w:vAlign w:val="center"/>
          </w:tcPr>
          <w:p w14:paraId="7C1647DE" w14:textId="77777777" w:rsidR="0087657F" w:rsidRPr="00BA2F00" w:rsidRDefault="0087657F" w:rsidP="001E3DE5">
            <w:pPr>
              <w:pStyle w:val="Institutionquisigne"/>
              <w:spacing w:before="0"/>
              <w:rPr>
                <w:i w:val="0"/>
                <w:noProof/>
                <w:sz w:val="22"/>
              </w:rPr>
            </w:pPr>
          </w:p>
        </w:tc>
        <w:tc>
          <w:tcPr>
            <w:tcW w:w="992" w:type="dxa"/>
            <w:vMerge/>
            <w:vAlign w:val="center"/>
          </w:tcPr>
          <w:p w14:paraId="7DD00E33" w14:textId="77777777" w:rsidR="0087657F" w:rsidRPr="00BA2F00" w:rsidRDefault="0087657F" w:rsidP="001E3DE5">
            <w:pPr>
              <w:pStyle w:val="Institutionquisigne"/>
              <w:spacing w:before="0"/>
              <w:rPr>
                <w:i w:val="0"/>
                <w:noProof/>
                <w:sz w:val="22"/>
              </w:rPr>
            </w:pPr>
          </w:p>
        </w:tc>
        <w:tc>
          <w:tcPr>
            <w:tcW w:w="992" w:type="dxa"/>
            <w:vMerge/>
            <w:vAlign w:val="center"/>
          </w:tcPr>
          <w:p w14:paraId="31BDB2CA" w14:textId="77777777" w:rsidR="0087657F" w:rsidRPr="00BA2F00" w:rsidRDefault="0087657F" w:rsidP="001E3DE5">
            <w:pPr>
              <w:pStyle w:val="Institutionquisigne"/>
              <w:spacing w:before="0"/>
              <w:rPr>
                <w:i w:val="0"/>
                <w:noProof/>
                <w:sz w:val="22"/>
              </w:rPr>
            </w:pPr>
          </w:p>
        </w:tc>
        <w:tc>
          <w:tcPr>
            <w:tcW w:w="1364" w:type="dxa"/>
            <w:vAlign w:val="center"/>
          </w:tcPr>
          <w:p w14:paraId="5580B763" w14:textId="77777777" w:rsidR="0087657F" w:rsidRPr="00BA2F00" w:rsidRDefault="0087657F" w:rsidP="001E3DE5">
            <w:pPr>
              <w:pStyle w:val="Institutionquisigne"/>
              <w:spacing w:before="0"/>
              <w:rPr>
                <w:i w:val="0"/>
                <w:noProof/>
                <w:sz w:val="22"/>
              </w:rPr>
            </w:pPr>
            <w:r w:rsidRPr="00BA2F00">
              <w:rPr>
                <w:i w:val="0"/>
                <w:noProof/>
                <w:sz w:val="22"/>
              </w:rPr>
              <w:t>kazalniki učinka</w:t>
            </w:r>
          </w:p>
        </w:tc>
        <w:tc>
          <w:tcPr>
            <w:tcW w:w="1613" w:type="dxa"/>
            <w:vAlign w:val="center"/>
          </w:tcPr>
          <w:p w14:paraId="46084029" w14:textId="77777777" w:rsidR="0087657F" w:rsidRPr="00BA2F00" w:rsidRDefault="0087657F" w:rsidP="001E3DE5">
            <w:pPr>
              <w:pStyle w:val="Institutionquisigne"/>
              <w:spacing w:before="0"/>
              <w:rPr>
                <w:i w:val="0"/>
                <w:noProof/>
                <w:sz w:val="22"/>
              </w:rPr>
            </w:pPr>
            <w:r w:rsidRPr="00BA2F00">
              <w:rPr>
                <w:i w:val="0"/>
                <w:noProof/>
                <w:sz w:val="22"/>
              </w:rPr>
              <w:t>kazalniki rezultatov</w:t>
            </w:r>
          </w:p>
        </w:tc>
      </w:tr>
      <w:tr w:rsidR="0087657F" w:rsidRPr="00BA2F00" w14:paraId="27187A15" w14:textId="77777777" w:rsidTr="00CB5B10">
        <w:tc>
          <w:tcPr>
            <w:tcW w:w="879" w:type="dxa"/>
            <w:vAlign w:val="center"/>
          </w:tcPr>
          <w:p w14:paraId="13EE2175" w14:textId="77777777" w:rsidR="0087657F" w:rsidRPr="00BA2F00" w:rsidRDefault="00BE5FCA" w:rsidP="001E3DE5">
            <w:pPr>
              <w:pStyle w:val="Institutionquisigne"/>
              <w:spacing w:before="0"/>
              <w:rPr>
                <w:i w:val="0"/>
                <w:noProof/>
                <w:sz w:val="22"/>
              </w:rPr>
            </w:pPr>
            <w:r w:rsidRPr="00BA2F00">
              <w:rPr>
                <w:i w:val="0"/>
                <w:noProof/>
                <w:sz w:val="22"/>
              </w:rPr>
              <w:t>/</w:t>
            </w:r>
          </w:p>
        </w:tc>
        <w:tc>
          <w:tcPr>
            <w:tcW w:w="1134" w:type="dxa"/>
            <w:vAlign w:val="center"/>
          </w:tcPr>
          <w:p w14:paraId="31864B6A" w14:textId="77777777" w:rsidR="0087657F" w:rsidRPr="00BA2F00" w:rsidRDefault="00BE5FCA" w:rsidP="001E3DE5">
            <w:pPr>
              <w:pStyle w:val="Institutionquisigne"/>
              <w:spacing w:before="0"/>
              <w:rPr>
                <w:i w:val="0"/>
                <w:noProof/>
                <w:sz w:val="22"/>
              </w:rPr>
            </w:pPr>
            <w:r w:rsidRPr="00BA2F00">
              <w:rPr>
                <w:i w:val="0"/>
                <w:noProof/>
                <w:sz w:val="22"/>
              </w:rPr>
              <w:t>/</w:t>
            </w:r>
          </w:p>
        </w:tc>
        <w:tc>
          <w:tcPr>
            <w:tcW w:w="1243" w:type="dxa"/>
          </w:tcPr>
          <w:p w14:paraId="0807E70C" w14:textId="77777777" w:rsidR="0087657F" w:rsidRPr="00BA2F00" w:rsidRDefault="00BE5FCA" w:rsidP="001E3DE5">
            <w:pPr>
              <w:pStyle w:val="Institutionquisigne"/>
              <w:spacing w:before="0"/>
              <w:rPr>
                <w:i w:val="0"/>
                <w:noProof/>
                <w:sz w:val="22"/>
              </w:rPr>
            </w:pPr>
            <w:r w:rsidRPr="00BA2F00">
              <w:rPr>
                <w:i w:val="0"/>
                <w:noProof/>
                <w:sz w:val="22"/>
              </w:rPr>
              <w:t>/</w:t>
            </w:r>
          </w:p>
        </w:tc>
        <w:tc>
          <w:tcPr>
            <w:tcW w:w="1025" w:type="dxa"/>
          </w:tcPr>
          <w:p w14:paraId="32375A0D" w14:textId="77777777" w:rsidR="0087657F" w:rsidRPr="00BA2F00" w:rsidRDefault="00BE5FCA" w:rsidP="001E3DE5">
            <w:pPr>
              <w:pStyle w:val="Institutionquisigne"/>
              <w:spacing w:before="0"/>
              <w:rPr>
                <w:i w:val="0"/>
                <w:noProof/>
                <w:sz w:val="22"/>
              </w:rPr>
            </w:pPr>
            <w:r w:rsidRPr="00BA2F00">
              <w:rPr>
                <w:i w:val="0"/>
                <w:noProof/>
                <w:sz w:val="22"/>
              </w:rPr>
              <w:t>/</w:t>
            </w:r>
          </w:p>
        </w:tc>
        <w:tc>
          <w:tcPr>
            <w:tcW w:w="992" w:type="dxa"/>
          </w:tcPr>
          <w:p w14:paraId="10868263" w14:textId="77777777" w:rsidR="0087657F" w:rsidRPr="00BA2F00" w:rsidRDefault="00BE5FCA" w:rsidP="001E3DE5">
            <w:pPr>
              <w:pStyle w:val="Institutionquisigne"/>
              <w:spacing w:before="0"/>
              <w:rPr>
                <w:i w:val="0"/>
                <w:noProof/>
                <w:sz w:val="22"/>
              </w:rPr>
            </w:pPr>
            <w:r w:rsidRPr="00BA2F00">
              <w:rPr>
                <w:i w:val="0"/>
                <w:noProof/>
                <w:sz w:val="22"/>
              </w:rPr>
              <w:t>/</w:t>
            </w:r>
          </w:p>
        </w:tc>
        <w:tc>
          <w:tcPr>
            <w:tcW w:w="992" w:type="dxa"/>
          </w:tcPr>
          <w:p w14:paraId="1344C564" w14:textId="77777777" w:rsidR="0087657F" w:rsidRPr="00BA2F00" w:rsidRDefault="00BE5FCA" w:rsidP="001E3DE5">
            <w:pPr>
              <w:pStyle w:val="Institutionquisigne"/>
              <w:spacing w:before="0"/>
              <w:rPr>
                <w:i w:val="0"/>
                <w:noProof/>
                <w:sz w:val="22"/>
              </w:rPr>
            </w:pPr>
            <w:r w:rsidRPr="00BA2F00">
              <w:rPr>
                <w:i w:val="0"/>
                <w:noProof/>
                <w:sz w:val="22"/>
              </w:rPr>
              <w:t>/</w:t>
            </w:r>
          </w:p>
        </w:tc>
        <w:tc>
          <w:tcPr>
            <w:tcW w:w="1364" w:type="dxa"/>
          </w:tcPr>
          <w:p w14:paraId="5055545C" w14:textId="77777777" w:rsidR="0087657F" w:rsidRPr="00BA2F00" w:rsidRDefault="00BE5FCA" w:rsidP="001E3DE5">
            <w:pPr>
              <w:pStyle w:val="Institutionquisigne"/>
              <w:spacing w:before="0"/>
              <w:rPr>
                <w:i w:val="0"/>
                <w:noProof/>
                <w:sz w:val="22"/>
              </w:rPr>
            </w:pPr>
            <w:r w:rsidRPr="00BA2F00">
              <w:rPr>
                <w:i w:val="0"/>
                <w:noProof/>
                <w:sz w:val="22"/>
              </w:rPr>
              <w:t>/</w:t>
            </w:r>
          </w:p>
        </w:tc>
        <w:tc>
          <w:tcPr>
            <w:tcW w:w="1613" w:type="dxa"/>
          </w:tcPr>
          <w:p w14:paraId="74922EC0" w14:textId="77777777" w:rsidR="0087657F" w:rsidRPr="00BA2F00" w:rsidRDefault="00BE5FCA" w:rsidP="001E3DE5">
            <w:pPr>
              <w:pStyle w:val="Institutionquisigne"/>
              <w:spacing w:before="0"/>
              <w:rPr>
                <w:i w:val="0"/>
                <w:noProof/>
                <w:sz w:val="22"/>
              </w:rPr>
            </w:pPr>
            <w:r w:rsidRPr="00BA2F00">
              <w:rPr>
                <w:i w:val="0"/>
                <w:noProof/>
                <w:sz w:val="22"/>
              </w:rPr>
              <w:t>/</w:t>
            </w:r>
          </w:p>
        </w:tc>
      </w:tr>
    </w:tbl>
    <w:p w14:paraId="711034B1" w14:textId="77777777" w:rsidR="0087657F" w:rsidRPr="00BA2F00" w:rsidRDefault="0087657F" w:rsidP="001E3DE5">
      <w:pPr>
        <w:pStyle w:val="Personnequisigne"/>
        <w:jc w:val="both"/>
        <w:rPr>
          <w:i w:val="0"/>
          <w:noProof/>
          <w:sz w:val="22"/>
        </w:rPr>
      </w:pPr>
    </w:p>
    <w:p w14:paraId="15C26BEE" w14:textId="77777777" w:rsidR="0087657F" w:rsidRPr="00BA2F00" w:rsidRDefault="00CF7D3B" w:rsidP="001E3DE5">
      <w:pPr>
        <w:pStyle w:val="ManualHeading2"/>
        <w:rPr>
          <w:noProof/>
          <w:sz w:val="22"/>
        </w:rPr>
      </w:pPr>
      <w:r w:rsidRPr="00BA2F00">
        <w:rPr>
          <w:sz w:val="22"/>
        </w:rPr>
        <w:t>1.6.</w:t>
      </w:r>
      <w:r w:rsidRPr="00BA2F00">
        <w:rPr>
          <w:sz w:val="22"/>
        </w:rPr>
        <w:tab/>
      </w:r>
      <w:r w:rsidR="0087657F" w:rsidRPr="00BA2F00">
        <w:rPr>
          <w:noProof/>
          <w:sz w:val="22"/>
        </w:rPr>
        <w:t>Preselitev in premestitev – člen 35(2), točki (g) in (h), Uredbe (EU) 2021/1147</w:t>
      </w:r>
    </w:p>
    <w:p w14:paraId="5EB3463A" w14:textId="03E51E3F" w:rsidR="000D1693" w:rsidRPr="00BA2F00" w:rsidRDefault="0060652B" w:rsidP="001E3DE5">
      <w:pPr>
        <w:pStyle w:val="Personnequisigne"/>
        <w:jc w:val="both"/>
        <w:rPr>
          <w:b/>
          <w:i w:val="0"/>
          <w:noProof/>
          <w:sz w:val="22"/>
        </w:rPr>
      </w:pPr>
      <w:r w:rsidRPr="00BA2F00">
        <w:rPr>
          <w:i w:val="0"/>
          <w:noProof/>
          <w:sz w:val="22"/>
        </w:rPr>
        <w:t>V spodnji preglednici navedite konsolidirane podatke za obračunsko leto.</w:t>
      </w:r>
      <w:r w:rsidR="009A4191" w:rsidRPr="00BA2F00">
        <w:rPr>
          <w:i w:val="0"/>
          <w:noProof/>
          <w:sz w:val="22"/>
        </w:rPr>
        <w:t xml:space="preserve"> </w:t>
      </w:r>
    </w:p>
    <w:tbl>
      <w:tblPr>
        <w:tblStyle w:val="Tabelamrea"/>
        <w:tblW w:w="0" w:type="auto"/>
        <w:tblLook w:val="04A0" w:firstRow="1" w:lastRow="0" w:firstColumn="1" w:lastColumn="0" w:noHBand="0" w:noVBand="1"/>
      </w:tblPr>
      <w:tblGrid>
        <w:gridCol w:w="6746"/>
        <w:gridCol w:w="2317"/>
      </w:tblGrid>
      <w:tr w:rsidR="00BA2F00" w:rsidRPr="00BA2F00" w14:paraId="4A0FC56E" w14:textId="77777777" w:rsidTr="004629B2">
        <w:trPr>
          <w:trHeight w:val="347"/>
        </w:trPr>
        <w:tc>
          <w:tcPr>
            <w:tcW w:w="6911" w:type="dxa"/>
            <w:vAlign w:val="center"/>
          </w:tcPr>
          <w:p w14:paraId="1E9A04D3" w14:textId="77777777" w:rsidR="0087657F" w:rsidRPr="00BA2F00" w:rsidRDefault="0087657F" w:rsidP="001E3DE5">
            <w:pPr>
              <w:spacing w:before="0" w:after="0"/>
              <w:rPr>
                <w:noProof/>
                <w:sz w:val="22"/>
              </w:rPr>
            </w:pPr>
            <w:r w:rsidRPr="00BA2F00">
              <w:rPr>
                <w:noProof/>
                <w:sz w:val="22"/>
              </w:rPr>
              <w:t xml:space="preserve">Število oseb, sprejetih v okviru preselitve </w:t>
            </w:r>
          </w:p>
        </w:tc>
        <w:tc>
          <w:tcPr>
            <w:tcW w:w="2376" w:type="dxa"/>
          </w:tcPr>
          <w:p w14:paraId="15B7DFC2" w14:textId="2BE171DC" w:rsidR="0087657F" w:rsidRPr="00BA2F00" w:rsidRDefault="00B27E72" w:rsidP="001E3DE5">
            <w:pPr>
              <w:pStyle w:val="Institutionquisigne"/>
              <w:spacing w:before="0"/>
              <w:rPr>
                <w:i w:val="0"/>
                <w:noProof/>
                <w:sz w:val="22"/>
              </w:rPr>
            </w:pPr>
            <w:r w:rsidRPr="00BA2F00">
              <w:rPr>
                <w:i w:val="0"/>
                <w:noProof/>
                <w:sz w:val="22"/>
              </w:rPr>
              <w:t>23</w:t>
            </w:r>
          </w:p>
        </w:tc>
      </w:tr>
      <w:tr w:rsidR="00BA2F00" w:rsidRPr="00BA2F00" w14:paraId="13940ED7" w14:textId="77777777" w:rsidTr="00B27E72">
        <w:trPr>
          <w:trHeight w:val="658"/>
        </w:trPr>
        <w:tc>
          <w:tcPr>
            <w:tcW w:w="6911" w:type="dxa"/>
            <w:vAlign w:val="center"/>
          </w:tcPr>
          <w:p w14:paraId="5A15F064" w14:textId="77777777" w:rsidR="0087657F" w:rsidRPr="00BA2F00" w:rsidRDefault="0087657F" w:rsidP="001E3DE5">
            <w:pPr>
              <w:spacing w:before="0" w:after="0"/>
              <w:rPr>
                <w:noProof/>
                <w:sz w:val="22"/>
              </w:rPr>
            </w:pPr>
            <w:r w:rsidRPr="00BA2F00">
              <w:rPr>
                <w:noProof/>
                <w:sz w:val="22"/>
              </w:rPr>
              <w:t>Število oseb, sprejetih v okviru humanitarnega sprejema v skladu s členom 19(2) Uredbe (EU) 2021/1147</w:t>
            </w:r>
          </w:p>
        </w:tc>
        <w:tc>
          <w:tcPr>
            <w:tcW w:w="2376" w:type="dxa"/>
          </w:tcPr>
          <w:p w14:paraId="16B40798" w14:textId="7A43DC05" w:rsidR="0087657F" w:rsidRPr="00BA2F00" w:rsidRDefault="0087657F" w:rsidP="001E3DE5">
            <w:pPr>
              <w:pStyle w:val="Institutionquisigne"/>
              <w:spacing w:before="0"/>
              <w:rPr>
                <w:i w:val="0"/>
                <w:noProof/>
                <w:sz w:val="22"/>
              </w:rPr>
            </w:pPr>
          </w:p>
        </w:tc>
      </w:tr>
      <w:tr w:rsidR="00BA2F00" w:rsidRPr="00BA2F00" w14:paraId="7898A0D0" w14:textId="77777777" w:rsidTr="00B27E72">
        <w:trPr>
          <w:trHeight w:val="650"/>
        </w:trPr>
        <w:tc>
          <w:tcPr>
            <w:tcW w:w="6911" w:type="dxa"/>
            <w:tcBorders>
              <w:bottom w:val="single" w:sz="4" w:space="0" w:color="auto"/>
            </w:tcBorders>
            <w:vAlign w:val="center"/>
          </w:tcPr>
          <w:p w14:paraId="3209FF8F" w14:textId="77777777" w:rsidR="0087657F" w:rsidRPr="00BA2F00" w:rsidRDefault="0087657F" w:rsidP="001E3DE5">
            <w:pPr>
              <w:spacing w:before="0" w:after="0"/>
              <w:rPr>
                <w:noProof/>
                <w:sz w:val="22"/>
              </w:rPr>
            </w:pPr>
            <w:r w:rsidRPr="00BA2F00">
              <w:rPr>
                <w:noProof/>
                <w:sz w:val="22"/>
              </w:rPr>
              <w:t>Število ranljivih oseb, sprejetih v okviru humanitarnega sprejema v skladu s členom 19(3) Uredbe (EU) 2021/1147</w:t>
            </w:r>
          </w:p>
        </w:tc>
        <w:tc>
          <w:tcPr>
            <w:tcW w:w="2376" w:type="dxa"/>
            <w:tcBorders>
              <w:bottom w:val="single" w:sz="4" w:space="0" w:color="auto"/>
            </w:tcBorders>
          </w:tcPr>
          <w:p w14:paraId="449DE64B" w14:textId="185C9AB7" w:rsidR="0087657F" w:rsidRPr="00BA2F00" w:rsidRDefault="0087657F" w:rsidP="001E3DE5">
            <w:pPr>
              <w:pStyle w:val="Institutionquisigne"/>
              <w:spacing w:before="0"/>
              <w:rPr>
                <w:i w:val="0"/>
                <w:noProof/>
                <w:sz w:val="22"/>
              </w:rPr>
            </w:pPr>
          </w:p>
        </w:tc>
      </w:tr>
      <w:tr w:rsidR="00BA2F00" w:rsidRPr="00BA2F00" w14:paraId="4F48A958" w14:textId="77777777" w:rsidTr="004629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6911" w:type="dxa"/>
            <w:tcBorders>
              <w:top w:val="single" w:sz="4" w:space="0" w:color="auto"/>
              <w:left w:val="single" w:sz="4" w:space="0" w:color="auto"/>
              <w:bottom w:val="single" w:sz="4" w:space="0" w:color="auto"/>
              <w:right w:val="single" w:sz="4" w:space="0" w:color="auto"/>
            </w:tcBorders>
            <w:vAlign w:val="center"/>
          </w:tcPr>
          <w:p w14:paraId="125E360A" w14:textId="77777777" w:rsidR="0087657F" w:rsidRPr="00BA2F00" w:rsidRDefault="0087657F" w:rsidP="001E3DE5">
            <w:pPr>
              <w:spacing w:before="0" w:after="0"/>
              <w:rPr>
                <w:noProof/>
                <w:sz w:val="22"/>
              </w:rPr>
            </w:pPr>
            <w:r w:rsidRPr="00BA2F00">
              <w:rPr>
                <w:noProof/>
                <w:sz w:val="22"/>
              </w:rPr>
              <w:t xml:space="preserve">Število prosilcev za mednarodno zaščito ali upravičencev do mednarodne zaščite, premeščenih v državo članico </w:t>
            </w:r>
          </w:p>
        </w:tc>
        <w:tc>
          <w:tcPr>
            <w:tcW w:w="2376" w:type="dxa"/>
            <w:tcBorders>
              <w:top w:val="single" w:sz="4" w:space="0" w:color="auto"/>
              <w:left w:val="single" w:sz="4" w:space="0" w:color="auto"/>
              <w:bottom w:val="single" w:sz="4" w:space="0" w:color="auto"/>
              <w:right w:val="single" w:sz="4" w:space="0" w:color="auto"/>
            </w:tcBorders>
          </w:tcPr>
          <w:p w14:paraId="434BD574" w14:textId="02D9D819" w:rsidR="0087657F" w:rsidRPr="00BA2F00" w:rsidRDefault="00B27E72" w:rsidP="001E3DE5">
            <w:pPr>
              <w:pStyle w:val="Institutionquisigne"/>
              <w:spacing w:before="0"/>
              <w:rPr>
                <w:i w:val="0"/>
                <w:noProof/>
                <w:sz w:val="22"/>
              </w:rPr>
            </w:pPr>
            <w:r w:rsidRPr="00BA2F00">
              <w:rPr>
                <w:i w:val="0"/>
                <w:noProof/>
                <w:sz w:val="22"/>
              </w:rPr>
              <w:t>5</w:t>
            </w:r>
          </w:p>
        </w:tc>
      </w:tr>
      <w:tr w:rsidR="00BA2F00" w:rsidRPr="00BA2F00" w14:paraId="644D15F5" w14:textId="77777777" w:rsidTr="004629B2">
        <w:trPr>
          <w:trHeight w:val="650"/>
        </w:trPr>
        <w:tc>
          <w:tcPr>
            <w:tcW w:w="6911" w:type="dxa"/>
            <w:tcBorders>
              <w:top w:val="single" w:sz="4" w:space="0" w:color="auto"/>
            </w:tcBorders>
            <w:vAlign w:val="center"/>
          </w:tcPr>
          <w:p w14:paraId="31956585" w14:textId="77777777" w:rsidR="0087657F" w:rsidRPr="00BA2F00" w:rsidRDefault="0087657F" w:rsidP="001E3DE5">
            <w:pPr>
              <w:spacing w:before="0" w:after="0"/>
              <w:rPr>
                <w:noProof/>
                <w:sz w:val="22"/>
              </w:rPr>
            </w:pPr>
            <w:r w:rsidRPr="00BA2F00">
              <w:rPr>
                <w:noProof/>
                <w:sz w:val="22"/>
              </w:rPr>
              <w:t>Število prosilcev za mednarodno zaščito ali upravičencev do mednarodne zaščite, premeščenih iz države članice</w:t>
            </w:r>
          </w:p>
        </w:tc>
        <w:tc>
          <w:tcPr>
            <w:tcW w:w="2376" w:type="dxa"/>
            <w:tcBorders>
              <w:top w:val="single" w:sz="4" w:space="0" w:color="auto"/>
            </w:tcBorders>
          </w:tcPr>
          <w:p w14:paraId="4B645CE8" w14:textId="33C4722C" w:rsidR="0087657F" w:rsidRPr="00BA2F00" w:rsidRDefault="0087657F" w:rsidP="001E3DE5">
            <w:pPr>
              <w:pStyle w:val="Institutionquisigne"/>
              <w:spacing w:before="0"/>
              <w:rPr>
                <w:i w:val="0"/>
                <w:noProof/>
                <w:sz w:val="22"/>
              </w:rPr>
            </w:pPr>
          </w:p>
        </w:tc>
      </w:tr>
    </w:tbl>
    <w:p w14:paraId="7C50447F" w14:textId="77777777" w:rsidR="0087657F" w:rsidRPr="00BA2F00" w:rsidRDefault="0087657F" w:rsidP="001E3DE5">
      <w:pPr>
        <w:rPr>
          <w:noProof/>
          <w:sz w:val="22"/>
        </w:rPr>
      </w:pPr>
      <w:r w:rsidRPr="00BA2F00">
        <w:rPr>
          <w:noProof/>
          <w:sz w:val="22"/>
        </w:rPr>
        <w:t xml:space="preserve">Če je ustrezno, opišite morebitne popravke ali spremembe vrednosti, poslanih dvakrat letno prek modula za prenos podatkov v sistemu za upravljanje skladov v Evropski uniji (SFC), ki so prikazane v zgornji preglednici v konsolidiranih podatkih za obračunsko leto. </w:t>
      </w:r>
    </w:p>
    <w:tbl>
      <w:tblPr>
        <w:tblStyle w:val="Tabelamrea"/>
        <w:tblW w:w="0" w:type="auto"/>
        <w:tblLook w:val="04A0" w:firstRow="1" w:lastRow="0" w:firstColumn="1" w:lastColumn="0" w:noHBand="0" w:noVBand="1"/>
      </w:tblPr>
      <w:tblGrid>
        <w:gridCol w:w="9063"/>
      </w:tblGrid>
      <w:tr w:rsidR="00BA2F00" w:rsidRPr="00BA2F00" w14:paraId="503D2651" w14:textId="77777777" w:rsidTr="00BE5FCA">
        <w:trPr>
          <w:trHeight w:val="47"/>
        </w:trPr>
        <w:tc>
          <w:tcPr>
            <w:tcW w:w="9289" w:type="dxa"/>
          </w:tcPr>
          <w:p w14:paraId="2E60BCF1" w14:textId="3DFBD934" w:rsidR="0087657F" w:rsidRPr="00BA2F00" w:rsidRDefault="00041F8F" w:rsidP="001E3DE5">
            <w:pPr>
              <w:pStyle w:val="Personnequisigne"/>
              <w:jc w:val="both"/>
              <w:rPr>
                <w:i w:val="0"/>
                <w:noProof/>
                <w:sz w:val="22"/>
              </w:rPr>
            </w:pPr>
            <w:r w:rsidRPr="00BA2F00">
              <w:rPr>
                <w:i w:val="0"/>
                <w:noProof/>
                <w:sz w:val="22"/>
              </w:rPr>
              <w:t>/</w:t>
            </w:r>
          </w:p>
        </w:tc>
      </w:tr>
    </w:tbl>
    <w:p w14:paraId="54F3D72D" w14:textId="77777777" w:rsidR="0087657F" w:rsidRPr="00BA2F00" w:rsidRDefault="00CF7D3B" w:rsidP="001E3DE5">
      <w:pPr>
        <w:pStyle w:val="ManualHeading2"/>
        <w:rPr>
          <w:noProof/>
          <w:sz w:val="22"/>
        </w:rPr>
      </w:pPr>
      <w:r w:rsidRPr="00BA2F00">
        <w:rPr>
          <w:sz w:val="22"/>
        </w:rPr>
        <w:t>1.7.</w:t>
      </w:r>
      <w:r w:rsidRPr="00BA2F00">
        <w:rPr>
          <w:sz w:val="22"/>
        </w:rPr>
        <w:tab/>
      </w:r>
      <w:r w:rsidR="0087657F" w:rsidRPr="00BA2F00">
        <w:rPr>
          <w:noProof/>
          <w:sz w:val="22"/>
        </w:rPr>
        <w:t>Samo v letu 2024: nadaljevanje projektov – člen 39(4), točka (e), Uredbe (EU) 2021/1147</w:t>
      </w:r>
    </w:p>
    <w:p w14:paraId="2992CCD0" w14:textId="77777777" w:rsidR="0087657F" w:rsidRPr="00BA2F00" w:rsidRDefault="0060652B" w:rsidP="001E3DE5">
      <w:pPr>
        <w:rPr>
          <w:noProof/>
          <w:sz w:val="22"/>
        </w:rPr>
      </w:pPr>
      <w:r w:rsidRPr="00BA2F00">
        <w:rPr>
          <w:noProof/>
          <w:sz w:val="22"/>
        </w:rPr>
        <w:t>Poročajte o vseh projektih, ki so se nadaljevali po 1. januarju 2021 ter so bili izbrani in začeti na podlagi Uredbe (EU) št. 516/2014 Evropskega parlamenta in Sveta</w:t>
      </w:r>
      <w:r w:rsidRPr="00BA2F00">
        <w:rPr>
          <w:rStyle w:val="Sprotnaopomba-sklic"/>
          <w:noProof/>
          <w:sz w:val="22"/>
        </w:rPr>
        <w:footnoteReference w:id="16"/>
      </w:r>
      <w:r w:rsidRPr="00BA2F00">
        <w:rPr>
          <w:noProof/>
          <w:sz w:val="22"/>
        </w:rPr>
        <w:t>, v skladu z Uredbo (EU) št. 514/2014 Evropskega parlamenta in Sveta</w:t>
      </w:r>
      <w:r w:rsidRPr="00BA2F00">
        <w:rPr>
          <w:rStyle w:val="Sprotnaopomba-sklic"/>
          <w:noProof/>
          <w:sz w:val="22"/>
        </w:rPr>
        <w:footnoteReference w:id="17"/>
      </w:r>
      <w:r w:rsidRPr="00BA2F00">
        <w:rPr>
          <w:noProof/>
          <w:sz w:val="22"/>
        </w:rPr>
        <w:t>.</w:t>
      </w:r>
    </w:p>
    <w:tbl>
      <w:tblPr>
        <w:tblStyle w:val="Tabelamrea"/>
        <w:tblW w:w="0" w:type="auto"/>
        <w:tblLook w:val="04A0" w:firstRow="1" w:lastRow="0" w:firstColumn="1" w:lastColumn="0" w:noHBand="0" w:noVBand="1"/>
      </w:tblPr>
      <w:tblGrid>
        <w:gridCol w:w="9063"/>
      </w:tblGrid>
      <w:tr w:rsidR="00BA2F00" w:rsidRPr="00BA2F00" w14:paraId="3B2F242B" w14:textId="77777777" w:rsidTr="00B511F2">
        <w:trPr>
          <w:trHeight w:val="307"/>
        </w:trPr>
        <w:tc>
          <w:tcPr>
            <w:tcW w:w="9289" w:type="dxa"/>
          </w:tcPr>
          <w:p w14:paraId="7FC81DE0" w14:textId="1C84A434" w:rsidR="0087657F" w:rsidRPr="00BA2F00" w:rsidRDefault="00F56EFD" w:rsidP="001E3DE5">
            <w:pPr>
              <w:pStyle w:val="Personnequisigne"/>
              <w:jc w:val="both"/>
              <w:rPr>
                <w:i w:val="0"/>
                <w:noProof/>
                <w:sz w:val="22"/>
              </w:rPr>
            </w:pPr>
            <w:r w:rsidRPr="00BA2F00">
              <w:rPr>
                <w:i w:val="0"/>
                <w:noProof/>
                <w:sz w:val="22"/>
              </w:rPr>
              <w:t>/</w:t>
            </w:r>
          </w:p>
        </w:tc>
      </w:tr>
    </w:tbl>
    <w:p w14:paraId="1A8B60F6" w14:textId="77777777" w:rsidR="0087657F" w:rsidRPr="00BA2F00" w:rsidRDefault="00CF7D3B" w:rsidP="001E3DE5">
      <w:pPr>
        <w:pStyle w:val="ManualHeading1"/>
        <w:rPr>
          <w:noProof/>
          <w:sz w:val="22"/>
        </w:rPr>
      </w:pPr>
      <w:r w:rsidRPr="00BA2F00">
        <w:rPr>
          <w:sz w:val="22"/>
        </w:rPr>
        <w:t>2.</w:t>
      </w:r>
      <w:r w:rsidRPr="00BA2F00">
        <w:rPr>
          <w:sz w:val="22"/>
        </w:rPr>
        <w:tab/>
      </w:r>
      <w:r w:rsidR="0087657F" w:rsidRPr="00BA2F00">
        <w:rPr>
          <w:noProof/>
          <w:sz w:val="22"/>
        </w:rPr>
        <w:t>Dopolnjevanje – člen 35(2), točka (c), Uredbe (EU) 2021/1147</w:t>
      </w:r>
    </w:p>
    <w:p w14:paraId="0DD98A80" w14:textId="2E10E6E3" w:rsidR="002379DB" w:rsidRPr="00BA2F00" w:rsidRDefault="0060652B" w:rsidP="001E3DE5">
      <w:pPr>
        <w:pStyle w:val="Titrearticle"/>
        <w:spacing w:before="240"/>
        <w:jc w:val="both"/>
        <w:rPr>
          <w:i w:val="0"/>
          <w:noProof/>
          <w:sz w:val="22"/>
        </w:rPr>
      </w:pPr>
      <w:r w:rsidRPr="00BA2F00">
        <w:rPr>
          <w:i w:val="0"/>
          <w:noProof/>
          <w:sz w:val="22"/>
        </w:rPr>
        <w:t>Opišite dopolnjevanje in, če je ustrezno, sinergije, dosežene med obračunskim letom, med ukrepi, ki so podprti v okviru Sklada, in podporo iz drugih skladov Unije, zlasti instrumentov za zunanje financiranje</w:t>
      </w:r>
      <w:r w:rsidRPr="00BA2F00">
        <w:rPr>
          <w:rStyle w:val="Sprotnaopomba-sklic"/>
          <w:i w:val="0"/>
          <w:noProof/>
          <w:sz w:val="22"/>
        </w:rPr>
        <w:footnoteReference w:id="18"/>
      </w:r>
      <w:r w:rsidRPr="00BA2F00">
        <w:rPr>
          <w:i w:val="0"/>
          <w:noProof/>
          <w:sz w:val="22"/>
        </w:rPr>
        <w:t>, Evropskega socialnega sklada + (ESS+) ali njegovih predhodnikov, Evropskega sklada za regionalni razvoj (ESRR) – v okviru cilja „naložbe za delovna mesta in rast“ ali cilja „evropsko teritorialno sodelovanje“ –, Sklada za notranjo varnost (ISF) ter Instrumenta za finančno podporo za upravljanje meja in vizumsko politiko</w:t>
      </w:r>
      <w:r w:rsidRPr="00BA2F00">
        <w:rPr>
          <w:rStyle w:val="Sprotnaopomba-sklic"/>
          <w:i w:val="0"/>
          <w:noProof/>
          <w:sz w:val="22"/>
        </w:rPr>
        <w:footnoteReference w:id="19"/>
      </w:r>
      <w:r w:rsidRPr="00BA2F00">
        <w:rPr>
          <w:i w:val="0"/>
          <w:noProof/>
          <w:sz w:val="22"/>
        </w:rPr>
        <w:t xml:space="preserve">. </w:t>
      </w:r>
    </w:p>
    <w:p w14:paraId="3746E456" w14:textId="77777777" w:rsidR="0087657F" w:rsidRPr="00BA2F00" w:rsidRDefault="0060652B" w:rsidP="001E3DE5">
      <w:pPr>
        <w:pStyle w:val="Titrearticle"/>
        <w:spacing w:before="240"/>
        <w:jc w:val="both"/>
        <w:rPr>
          <w:i w:val="0"/>
          <w:noProof/>
          <w:sz w:val="22"/>
        </w:rPr>
      </w:pPr>
      <w:r w:rsidRPr="00BA2F00">
        <w:rPr>
          <w:i w:val="0"/>
          <w:noProof/>
          <w:sz w:val="22"/>
        </w:rPr>
        <w:t>Posebno pozornost namenite:</w:t>
      </w:r>
    </w:p>
    <w:p w14:paraId="35B28D09" w14:textId="77777777" w:rsidR="0087657F" w:rsidRPr="00BA2F00" w:rsidRDefault="0087657F" w:rsidP="001E3DE5">
      <w:pPr>
        <w:pStyle w:val="Tiret0"/>
        <w:numPr>
          <w:ilvl w:val="0"/>
          <w:numId w:val="9"/>
        </w:numPr>
        <w:rPr>
          <w:noProof/>
          <w:sz w:val="22"/>
        </w:rPr>
      </w:pPr>
      <w:r w:rsidRPr="00BA2F00">
        <w:rPr>
          <w:noProof/>
          <w:sz w:val="22"/>
        </w:rPr>
        <w:t>dopolnjevanju z instrumenti Unije za zunanje financiranje za ukrepe, ki se izvajajo v tretjih državah ali v zvezi z njimi, s poudarkom na vidikih, ki so skladni z načeli in splošnimi cilji zunanje politike Unije, ter</w:t>
      </w:r>
    </w:p>
    <w:p w14:paraId="1DD96B49" w14:textId="77777777" w:rsidR="00B66713" w:rsidRPr="00BA2F00" w:rsidRDefault="0087657F" w:rsidP="001E3DE5">
      <w:pPr>
        <w:pStyle w:val="Tiret0"/>
        <w:numPr>
          <w:ilvl w:val="0"/>
          <w:numId w:val="9"/>
        </w:numPr>
        <w:rPr>
          <w:noProof/>
          <w:sz w:val="22"/>
        </w:rPr>
      </w:pPr>
      <w:r w:rsidRPr="00BA2F00">
        <w:rPr>
          <w:noProof/>
          <w:sz w:val="22"/>
        </w:rPr>
        <w:t>uporabi omogočitvenih mehanizmov, kot so obstoječe organizacijske in postopkovne ureditve, ki pomagajo doseči sinergije in dopolnjevanje, ter morebitnim ukrepom, izvedenim za njihovo izboljšanje v obračunskem letu.</w:t>
      </w:r>
    </w:p>
    <w:p w14:paraId="38F5A144" w14:textId="77777777" w:rsidR="00B66713" w:rsidRPr="00BA2F00" w:rsidRDefault="00B66713" w:rsidP="001E3DE5">
      <w:pPr>
        <w:rPr>
          <w:noProof/>
          <w:sz w:val="22"/>
        </w:rPr>
      </w:pPr>
      <w:r w:rsidRPr="00BA2F00">
        <w:rPr>
          <w:noProof/>
          <w:sz w:val="22"/>
        </w:rPr>
        <w:t>Če je ustrezno, opišite tudi dopolnjevanje dejavnosti, ki se izvajajo z vidika krepitve medagencijskega sodelovanja</w:t>
      </w:r>
      <w:r w:rsidRPr="00BA2F00">
        <w:rPr>
          <w:rStyle w:val="Sprotnaopomba-sklic"/>
          <w:noProof/>
          <w:sz w:val="22"/>
        </w:rPr>
        <w:footnoteReference w:id="20"/>
      </w:r>
      <w:r w:rsidRPr="00BA2F00">
        <w:rPr>
          <w:noProof/>
          <w:sz w:val="22"/>
        </w:rPr>
        <w:t>.</w:t>
      </w:r>
    </w:p>
    <w:tbl>
      <w:tblPr>
        <w:tblStyle w:val="Tabelamrea"/>
        <w:tblW w:w="0" w:type="auto"/>
        <w:tblLook w:val="04A0" w:firstRow="1" w:lastRow="0" w:firstColumn="1" w:lastColumn="0" w:noHBand="0" w:noVBand="1"/>
      </w:tblPr>
      <w:tblGrid>
        <w:gridCol w:w="9063"/>
      </w:tblGrid>
      <w:tr w:rsidR="00BA2F00" w:rsidRPr="00BA2F00" w14:paraId="339B70B1" w14:textId="77777777" w:rsidTr="00B93DCC">
        <w:tc>
          <w:tcPr>
            <w:tcW w:w="9063" w:type="dxa"/>
          </w:tcPr>
          <w:p w14:paraId="197FCF3E" w14:textId="77777777" w:rsidR="00B93DCC" w:rsidRPr="00BA2F00" w:rsidRDefault="00B93DCC" w:rsidP="00B93DCC">
            <w:pPr>
              <w:pStyle w:val="Institutionquisigne"/>
              <w:spacing w:before="0"/>
              <w:rPr>
                <w:i w:val="0"/>
                <w:sz w:val="22"/>
              </w:rPr>
            </w:pPr>
            <w:r w:rsidRPr="00BA2F00">
              <w:rPr>
                <w:i w:val="0"/>
                <w:sz w:val="22"/>
              </w:rPr>
              <w:t>OU daje velik pomen spremljanju dopolnjevanj operacij programa AMIF z drugimi operacijami, EU programi ali viri financiranja ter nacionalnimi sredstvi. Upravičenci v fazi prijave navedejo morebitna dopolnjevanja z drugimi operacijami, kar tudi kasneje, v fazi izvajanja operacij, pri vsakem zahtevku za povračilo poročajo.</w:t>
            </w:r>
          </w:p>
          <w:p w14:paraId="573E3711" w14:textId="77777777" w:rsidR="00B93DCC" w:rsidRPr="00BA2F00" w:rsidRDefault="00B93DCC" w:rsidP="00B93DCC">
            <w:pPr>
              <w:pStyle w:val="Institutionquisigne"/>
              <w:spacing w:before="0"/>
              <w:rPr>
                <w:i w:val="0"/>
                <w:sz w:val="22"/>
              </w:rPr>
            </w:pPr>
          </w:p>
          <w:p w14:paraId="08D37433" w14:textId="65002555" w:rsidR="00B93DCC" w:rsidRPr="00BA2F00" w:rsidRDefault="00B93DCC" w:rsidP="00B93DCC">
            <w:pPr>
              <w:pStyle w:val="Institutionquisigne"/>
              <w:spacing w:before="0"/>
              <w:rPr>
                <w:i w:val="0"/>
                <w:sz w:val="22"/>
              </w:rPr>
            </w:pPr>
            <w:r w:rsidRPr="00BA2F00">
              <w:rPr>
                <w:i w:val="0"/>
                <w:sz w:val="22"/>
              </w:rPr>
              <w:t xml:space="preserve">Na podlagi teh podatkov je zaznano zlasti </w:t>
            </w:r>
            <w:r w:rsidRPr="00BA2F00">
              <w:rPr>
                <w:b/>
                <w:bCs/>
                <w:i w:val="0"/>
                <w:sz w:val="22"/>
              </w:rPr>
              <w:t>dopolnjevanje med operacijami, ki se izvajajo znotraj istega programa</w:t>
            </w:r>
            <w:r w:rsidRPr="00BA2F00">
              <w:rPr>
                <w:i w:val="0"/>
                <w:sz w:val="22"/>
              </w:rPr>
              <w:t xml:space="preserve"> (npr. med operacijami, ki se nanašajo na izvedbo postopka mednarodne zaščite in operacijami, ki so usmerjene v zagotavljanje ustreznih pogojev za sprejem prosilcev za mednarodno zaščito). S tem je zagotovljeno učinkovito delovanje sistema mednarodne zaščite, izboljševanje pogojev in postopkov sprejema ter izvajanje uspešne in učinkovite integracijske politike, hkrati pa tudi zagotavljanje ustreznih pogojev v postopkih vračanja. Na ta način program AMIF kot celota pomembno prispeva k uveljavljanju pravično naravnanega in celostnega pristopa k upravljanju migracij, vključno z vključevanjem.</w:t>
            </w:r>
          </w:p>
          <w:p w14:paraId="331D8705" w14:textId="77777777" w:rsidR="00B93DCC" w:rsidRPr="00BA2F00" w:rsidRDefault="00B93DCC" w:rsidP="00B93DCC">
            <w:pPr>
              <w:pStyle w:val="Personnequisigne"/>
              <w:jc w:val="both"/>
              <w:rPr>
                <w:i w:val="0"/>
                <w:sz w:val="22"/>
              </w:rPr>
            </w:pPr>
          </w:p>
          <w:p w14:paraId="0ED19107" w14:textId="77777777" w:rsidR="00B93DCC" w:rsidRPr="00BA2F00" w:rsidRDefault="00B93DCC" w:rsidP="00B93DCC">
            <w:pPr>
              <w:pStyle w:val="Institutionquisigne"/>
              <w:spacing w:before="0"/>
              <w:rPr>
                <w:i w:val="0"/>
                <w:sz w:val="22"/>
              </w:rPr>
            </w:pPr>
            <w:r w:rsidRPr="00BA2F00">
              <w:rPr>
                <w:i w:val="0"/>
                <w:sz w:val="22"/>
              </w:rPr>
              <w:t xml:space="preserve">Pri operacijah, ki se vsebinsko nanašajo na področje mednarodne zaščite in obravnave tujcev, zaznavamo jasno vsebinsko </w:t>
            </w:r>
            <w:r w:rsidRPr="00BA2F00">
              <w:rPr>
                <w:b/>
                <w:bCs/>
                <w:i w:val="0"/>
                <w:sz w:val="22"/>
              </w:rPr>
              <w:t>dopolnjevanje operacij programov AMIF, SNV in IUMV</w:t>
            </w:r>
            <w:r w:rsidRPr="00BA2F00">
              <w:rPr>
                <w:i w:val="0"/>
                <w:sz w:val="22"/>
              </w:rPr>
              <w:t>, katerih aktivnosti so usmerjene v preprečevanje nezakonitih migracij. Takšno dopolnjevanje omogoča usklajeno izvajanje varnostnih, upravnih in integracijskih vidikov migracijskih politik EU ter preprečuje podvajanje ukrepov in aktivnosti.</w:t>
            </w:r>
          </w:p>
          <w:p w14:paraId="18B57497" w14:textId="77777777" w:rsidR="00B93DCC" w:rsidRPr="00BA2F00" w:rsidRDefault="00B93DCC" w:rsidP="00B93DCC">
            <w:pPr>
              <w:rPr>
                <w:noProof/>
                <w:sz w:val="22"/>
              </w:rPr>
            </w:pPr>
            <w:r w:rsidRPr="00BA2F00">
              <w:rPr>
                <w:noProof/>
                <w:sz w:val="22"/>
              </w:rPr>
              <w:t xml:space="preserve">Sistem vračanja državljanov tretjih držav v državo izvora, ki jo izvaja Policija, Center za tujce, je komplementaren s </w:t>
            </w:r>
            <w:r w:rsidRPr="00BA2F00">
              <w:rPr>
                <w:b/>
                <w:bCs/>
                <w:noProof/>
                <w:sz w:val="22"/>
              </w:rPr>
              <w:t>platformo FAR</w:t>
            </w:r>
            <w:r w:rsidRPr="00BA2F00">
              <w:rPr>
                <w:noProof/>
                <w:sz w:val="22"/>
              </w:rPr>
              <w:t xml:space="preserve"> (Frontex's Application for Return) za naročanje avionskih vozovnic z namenom vračanja in za organizacijo čarterskih letov v tretje države, kjer so stroški kriti s strani Agencije Frontex in jih Policija, Center za tujce ne uveljavlja iz programa AMIF.</w:t>
            </w:r>
          </w:p>
          <w:p w14:paraId="04467D6E" w14:textId="77777777" w:rsidR="00B93DCC" w:rsidRPr="00BA2F00" w:rsidRDefault="00B93DCC" w:rsidP="00B93DCC">
            <w:pPr>
              <w:rPr>
                <w:noProof/>
                <w:sz w:val="22"/>
              </w:rPr>
            </w:pPr>
            <w:r w:rsidRPr="00BA2F00">
              <w:rPr>
                <w:noProof/>
                <w:sz w:val="22"/>
              </w:rPr>
              <w:t xml:space="preserve">Policija, Center za tujce, je tudi vključena v </w:t>
            </w:r>
            <w:r w:rsidRPr="00BA2F00">
              <w:rPr>
                <w:b/>
                <w:bCs/>
                <w:noProof/>
                <w:sz w:val="22"/>
              </w:rPr>
              <w:t xml:space="preserve">EURP </w:t>
            </w:r>
            <w:r w:rsidRPr="00BA2F00">
              <w:rPr>
                <w:noProof/>
                <w:sz w:val="22"/>
              </w:rPr>
              <w:t xml:space="preserve">(European Reintegration Program), ki je prav tako vzpostavljen v okviru Agencije Frontex in se nanaša na reintegracijo državljanov tretjih držav v državi izvora po vrnitvi, bodisi prostovoljni ali prisilni. Zaradi učinkovitosti programa EURP, Policija ni imela potrebe po vzpostavitvi nacionalnega reintegracijskega programa. </w:t>
            </w:r>
          </w:p>
          <w:p w14:paraId="1F469DC2" w14:textId="481C765A" w:rsidR="00B93DCC" w:rsidRPr="00BA2F00" w:rsidRDefault="00B93DCC" w:rsidP="00B93DCC">
            <w:pPr>
              <w:rPr>
                <w:noProof/>
                <w:sz w:val="22"/>
              </w:rPr>
            </w:pPr>
            <w:r w:rsidRPr="00BA2F00">
              <w:rPr>
                <w:noProof/>
                <w:sz w:val="22"/>
              </w:rPr>
              <w:t xml:space="preserve">Zaznano je tudi vsebinsko dopolnjevanje pri izvedbi usposabljanj, ki jih je podprla </w:t>
            </w:r>
            <w:r w:rsidRPr="00BA2F00">
              <w:rPr>
                <w:b/>
                <w:bCs/>
                <w:noProof/>
                <w:sz w:val="22"/>
              </w:rPr>
              <w:t>Agencija Evropske unije za azil</w:t>
            </w:r>
            <w:r w:rsidRPr="00BA2F00">
              <w:rPr>
                <w:noProof/>
                <w:sz w:val="22"/>
              </w:rPr>
              <w:t xml:space="preserve"> za zaposlene na Direktoratu za migracije, ki vodijo postopke mednarodne zaščite. Usposabljanja so obravnavala t.</w:t>
            </w:r>
            <w:r w:rsidR="00FB5A81" w:rsidRPr="00BA2F00">
              <w:rPr>
                <w:noProof/>
                <w:sz w:val="22"/>
              </w:rPr>
              <w:t> </w:t>
            </w:r>
            <w:r w:rsidRPr="00BA2F00">
              <w:rPr>
                <w:noProof/>
                <w:sz w:val="22"/>
              </w:rPr>
              <w:t>i. dublinske postopke ter temeljne vidike postopkovne uredbe, s posebnim poudarkom na obravnavi ranljivih skupin.</w:t>
            </w:r>
          </w:p>
          <w:p w14:paraId="731EE92D" w14:textId="77777777" w:rsidR="00B93DCC" w:rsidRPr="00BA2F00" w:rsidRDefault="00B93DCC" w:rsidP="00B93DCC">
            <w:pPr>
              <w:pStyle w:val="Personnequisigne"/>
              <w:jc w:val="both"/>
              <w:rPr>
                <w:sz w:val="22"/>
              </w:rPr>
            </w:pPr>
          </w:p>
          <w:p w14:paraId="03E44B0D" w14:textId="77777777" w:rsidR="00B93DCC" w:rsidRPr="00BA2F00" w:rsidRDefault="00B93DCC" w:rsidP="00B93DCC">
            <w:pPr>
              <w:pStyle w:val="Institutionquisigne"/>
              <w:spacing w:before="0"/>
              <w:rPr>
                <w:i w:val="0"/>
                <w:sz w:val="22"/>
              </w:rPr>
            </w:pPr>
            <w:r w:rsidRPr="00BA2F00">
              <w:rPr>
                <w:i w:val="0"/>
                <w:sz w:val="22"/>
              </w:rPr>
              <w:t>Poleg zgoraj navedenega je OU vzpostavil tudi strukturiran in sistematičen mehanizem za pridobivanje informacij o dopolnjevanju financiranja iz drugih virov EU. V ta namen zbira informacije na naslednje načine:</w:t>
            </w:r>
          </w:p>
          <w:p w14:paraId="681FF42F" w14:textId="77777777" w:rsidR="00B93DCC" w:rsidRPr="00BA2F00" w:rsidRDefault="00B93DCC" w:rsidP="00B93DCC">
            <w:pPr>
              <w:pStyle w:val="Institutionquisigne"/>
              <w:numPr>
                <w:ilvl w:val="0"/>
                <w:numId w:val="28"/>
              </w:numPr>
              <w:spacing w:before="0"/>
              <w:rPr>
                <w:i w:val="0"/>
                <w:sz w:val="22"/>
              </w:rPr>
            </w:pPr>
            <w:r w:rsidRPr="00BA2F00">
              <w:rPr>
                <w:i w:val="0"/>
                <w:sz w:val="22"/>
              </w:rPr>
              <w:t>izmenjava informacij z organi upravljanja in posredniškimi telesi drugih EU programov,</w:t>
            </w:r>
          </w:p>
          <w:p w14:paraId="2CE78D56" w14:textId="77777777" w:rsidR="00B93DCC" w:rsidRPr="00BA2F00" w:rsidRDefault="00B93DCC" w:rsidP="00B93DCC">
            <w:pPr>
              <w:pStyle w:val="Institutionquisigne"/>
              <w:numPr>
                <w:ilvl w:val="0"/>
                <w:numId w:val="28"/>
              </w:numPr>
              <w:spacing w:before="0"/>
              <w:rPr>
                <w:i w:val="0"/>
                <w:sz w:val="22"/>
              </w:rPr>
            </w:pPr>
            <w:r w:rsidRPr="00BA2F00">
              <w:rPr>
                <w:i w:val="0"/>
                <w:sz w:val="22"/>
              </w:rPr>
              <w:t>samostojno pridobiva informacije iz nevladnega sektorja,</w:t>
            </w:r>
          </w:p>
          <w:p w14:paraId="4A25E30D" w14:textId="77777777" w:rsidR="00B93DCC" w:rsidRPr="00BA2F00" w:rsidRDefault="00B93DCC" w:rsidP="00B93DCC">
            <w:pPr>
              <w:pStyle w:val="Institutionquisigne"/>
              <w:numPr>
                <w:ilvl w:val="0"/>
                <w:numId w:val="28"/>
              </w:numPr>
              <w:spacing w:before="0"/>
              <w:rPr>
                <w:i w:val="0"/>
                <w:sz w:val="22"/>
              </w:rPr>
            </w:pPr>
            <w:r w:rsidRPr="00BA2F00">
              <w:rPr>
                <w:i w:val="0"/>
                <w:sz w:val="22"/>
              </w:rPr>
              <w:t>preverja javno dostopne informacije o sofinanciranih projektih.</w:t>
            </w:r>
          </w:p>
          <w:p w14:paraId="2A843627" w14:textId="77777777" w:rsidR="00B93DCC" w:rsidRPr="00BA2F00" w:rsidRDefault="00B93DCC" w:rsidP="00B93DCC">
            <w:pPr>
              <w:pStyle w:val="Institutionquisigne"/>
              <w:spacing w:before="0"/>
              <w:rPr>
                <w:i w:val="0"/>
                <w:sz w:val="22"/>
              </w:rPr>
            </w:pPr>
          </w:p>
          <w:p w14:paraId="2D1E3423" w14:textId="77777777" w:rsidR="00B93DCC" w:rsidRPr="00BA2F00" w:rsidRDefault="00B93DCC" w:rsidP="00B93DCC">
            <w:pPr>
              <w:pStyle w:val="Institutionquisigne"/>
              <w:spacing w:before="0"/>
              <w:rPr>
                <w:i w:val="0"/>
                <w:sz w:val="22"/>
              </w:rPr>
            </w:pPr>
            <w:r w:rsidRPr="00BA2F00">
              <w:rPr>
                <w:i w:val="0"/>
                <w:sz w:val="22"/>
              </w:rPr>
              <w:t>Na podlagi pridobljenih podatkov in lastne analize ugotavljamo, da se operacije, financirane v okviru programa AMIF, vsebinsko in finančno pomembno dopolnjujejo z drugimi viri financiranja kot sledi.</w:t>
            </w:r>
          </w:p>
          <w:p w14:paraId="7AC2DE81" w14:textId="77777777" w:rsidR="00B93DCC" w:rsidRPr="00BA2F00" w:rsidRDefault="00B93DCC" w:rsidP="00B93DCC">
            <w:pPr>
              <w:rPr>
                <w:sz w:val="22"/>
              </w:rPr>
            </w:pPr>
            <w:r w:rsidRPr="00BA2F00">
              <w:rPr>
                <w:b/>
                <w:bCs/>
                <w:sz w:val="22"/>
              </w:rPr>
              <w:t>Evropski socialni sklad (ESS+)</w:t>
            </w:r>
            <w:r w:rsidRPr="00BA2F00">
              <w:rPr>
                <w:sz w:val="22"/>
              </w:rPr>
              <w:t xml:space="preserve"> </w:t>
            </w:r>
            <w:proofErr w:type="spellStart"/>
            <w:r w:rsidRPr="00BA2F00">
              <w:rPr>
                <w:sz w:val="22"/>
              </w:rPr>
              <w:t>dopolnuje</w:t>
            </w:r>
            <w:proofErr w:type="spellEnd"/>
            <w:r w:rsidRPr="00BA2F00">
              <w:rPr>
                <w:sz w:val="22"/>
              </w:rPr>
              <w:t xml:space="preserve"> AMIF predvsem na področju vključevanja državljanov tretjih držav, z dolgoročnejšimi ukrepi socialnega vključevanja, zaposlovanja, izobraževanja in usposabljanja, s ciljem izboljšanja dostopa do trga dela in zmanjševanja socialne izključenosti (</w:t>
            </w:r>
            <w:r w:rsidRPr="00BA2F00">
              <w:rPr>
                <w:i/>
                <w:iCs/>
                <w:sz w:val="22"/>
              </w:rPr>
              <w:t>npr. 1) Tečaji in izpiti iz slovenskega jezika (temeljne kompetence 2023-2029, Začetna integracija priseljencev), 2) Socialna aktivacija albansko govorečih žensk 2024-2027 ter program socialne aktivacije za ženske iz albanskega kulturnega okolja: Aktivno živim v Sloveniji+, 3) Socialna aktivacija Gorenjske+ in Aktivno SO-delujem</w:t>
            </w:r>
            <w:r w:rsidRPr="00BA2F00">
              <w:rPr>
                <w:b/>
                <w:bCs/>
                <w:i/>
                <w:iCs/>
                <w:sz w:val="22"/>
              </w:rPr>
              <w:t xml:space="preserve">: </w:t>
            </w:r>
            <w:r w:rsidRPr="00BA2F00">
              <w:rPr>
                <w:i/>
                <w:iCs/>
                <w:sz w:val="22"/>
              </w:rPr>
              <w:t>programa socialne aktivacije, ki s svojim celostnim pristopom prispevata k izboljšanju socialne vključenosti žensk iz drugih kulturnih okolij in k povečanju njihovih zaposlitvenih možnosti ter 4) Program Zmorem sama: ženskam iz drugih kulturnih okolij omogoča lažjo vključitev na trg dela - učenje slovenskega jezika, osnov računalništva, pisanja prošenj za delo, krepitev socialnih in osebnostnih kompetenc, seznanitev s slovenskim trgom dela, povezovanje z delodajalci, usposabljanja za poklice</w:t>
            </w:r>
            <w:r w:rsidRPr="00BA2F00">
              <w:rPr>
                <w:sz w:val="22"/>
              </w:rPr>
              <w:t xml:space="preserve">). S tem se zagotavlja komplementarnost financiranja, preprečuje podvajanje ukrepov ter omogoča celovit pristop k vključevanju migrantov v družbo in na trg dela. </w:t>
            </w:r>
          </w:p>
          <w:p w14:paraId="20DEF91F" w14:textId="77777777" w:rsidR="00B93DCC" w:rsidRPr="00BA2F00" w:rsidRDefault="00B93DCC" w:rsidP="00B93DCC">
            <w:pPr>
              <w:rPr>
                <w:sz w:val="22"/>
              </w:rPr>
            </w:pPr>
            <w:r w:rsidRPr="00BA2F00">
              <w:rPr>
                <w:sz w:val="22"/>
              </w:rPr>
              <w:t xml:space="preserve">AMIF se dopolnjuje tudi prek </w:t>
            </w:r>
            <w:r w:rsidRPr="00BA2F00">
              <w:rPr>
                <w:b/>
                <w:bCs/>
                <w:sz w:val="22"/>
              </w:rPr>
              <w:t>centraliziranih projektov AMIF</w:t>
            </w:r>
            <w:r w:rsidRPr="00BA2F00">
              <w:rPr>
                <w:sz w:val="22"/>
              </w:rPr>
              <w:t xml:space="preserve">, ki jih neposredno financira Evropska komisija in ki krepijo podporne mehanizme ter nadgrajujejo nacionalne ukrepe. Med njimi so: </w:t>
            </w:r>
            <w:r w:rsidRPr="00BA2F00">
              <w:rPr>
                <w:i/>
                <w:iCs/>
                <w:sz w:val="22"/>
              </w:rPr>
              <w:t xml:space="preserve">projekt COAST za izboljšanje podpore zakonitim zastopnikom otrok brez spremstva in zagotavljanje hitrega dostopa do njihovih pravic ter podpore pri prehodu v odraslost; projekt EMV-LII za krepitev </w:t>
            </w:r>
            <w:proofErr w:type="spellStart"/>
            <w:r w:rsidRPr="00BA2F00">
              <w:rPr>
                <w:i/>
                <w:iCs/>
                <w:sz w:val="22"/>
              </w:rPr>
              <w:t>migrantskih</w:t>
            </w:r>
            <w:proofErr w:type="spellEnd"/>
            <w:r w:rsidRPr="00BA2F00">
              <w:rPr>
                <w:i/>
                <w:iCs/>
                <w:sz w:val="22"/>
              </w:rPr>
              <w:t xml:space="preserve"> glasov v procesih lokalne integracije; program LABOUR-INT III, ki spodbuja večplastne poti vključevanja migrantov in beguncev od prihoda do zaposlitve; projekt SIS-</w:t>
            </w:r>
            <w:proofErr w:type="spellStart"/>
            <w:r w:rsidRPr="00BA2F00">
              <w:rPr>
                <w:i/>
                <w:iCs/>
                <w:sz w:val="22"/>
              </w:rPr>
              <w:t>Hubs</w:t>
            </w:r>
            <w:proofErr w:type="spellEnd"/>
            <w:r w:rsidRPr="00BA2F00">
              <w:rPr>
                <w:i/>
                <w:iCs/>
                <w:sz w:val="22"/>
              </w:rPr>
              <w:t xml:space="preserve">, usmerjen v socialno integracijo žensk in deklet iz tretjih držav, zlasti ranljivih skupin in žrtev trgovine z ljudmi; ter projekt N.E.A.R. to </w:t>
            </w:r>
            <w:proofErr w:type="spellStart"/>
            <w:r w:rsidRPr="00BA2F00">
              <w:rPr>
                <w:i/>
                <w:iCs/>
                <w:sz w:val="22"/>
              </w:rPr>
              <w:t>Guardians</w:t>
            </w:r>
            <w:proofErr w:type="spellEnd"/>
            <w:r w:rsidRPr="00BA2F00">
              <w:rPr>
                <w:i/>
                <w:iCs/>
                <w:sz w:val="22"/>
              </w:rPr>
              <w:t>, namenjen zagotavljanju polnega dostopa do osnovnih pravic in krepitvi potenciala mladoletnikov brez spremstva, zlasti na področju nastanitve ter vključevanja v izobraževanje in delo</w:t>
            </w:r>
            <w:r w:rsidRPr="00BA2F00">
              <w:rPr>
                <w:sz w:val="22"/>
              </w:rPr>
              <w:t>. S tem se zagotavlja usklajen pristop k vključevanju migrantov v družbo in na trg dela.</w:t>
            </w:r>
          </w:p>
          <w:p w14:paraId="2507D049" w14:textId="77777777" w:rsidR="00B93DCC" w:rsidRPr="00BA2F00" w:rsidRDefault="00B93DCC" w:rsidP="00B93DCC">
            <w:pPr>
              <w:pStyle w:val="Institutionquisigne"/>
              <w:spacing w:before="0"/>
              <w:rPr>
                <w:i w:val="0"/>
                <w:sz w:val="22"/>
              </w:rPr>
            </w:pPr>
            <w:r w:rsidRPr="00BA2F00">
              <w:rPr>
                <w:i w:val="0"/>
                <w:sz w:val="22"/>
              </w:rPr>
              <w:t>Tudi</w:t>
            </w:r>
            <w:r w:rsidRPr="00BA2F00">
              <w:rPr>
                <w:b/>
                <w:bCs/>
                <w:i w:val="0"/>
                <w:sz w:val="22"/>
              </w:rPr>
              <w:t xml:space="preserve"> programi Mestne občine Ljubljana</w:t>
            </w:r>
            <w:r w:rsidRPr="00BA2F00">
              <w:rPr>
                <w:i w:val="0"/>
                <w:sz w:val="22"/>
              </w:rPr>
              <w:t xml:space="preserve"> se vsebinsko dopolnjujejo z ukrepi AMIF. Medtem ko AMIF zagotavlja podporo pri začetni integraciji, dostopu do pravic ter ciljno usmerjenih podpornih storitvah za državljane tretjih držav, Mestna občina Ljubljana s </w:t>
            </w:r>
            <w:r w:rsidRPr="00BA2F00">
              <w:rPr>
                <w:iCs/>
                <w:sz w:val="22"/>
              </w:rPr>
              <w:t>programi podpore in pomoči pri socialni integraciji migrantov, programi aktivacije, neformalnega učenja in krepitve kompetenc ter programi psihosocialne pomoči in zagovorništva</w:t>
            </w:r>
            <w:r w:rsidRPr="00BA2F00">
              <w:rPr>
                <w:i w:val="0"/>
                <w:sz w:val="22"/>
              </w:rPr>
              <w:t xml:space="preserve"> nadgrajuje te ukrepe na lokalni ravni. S tem se krepi dolgoročna socialna vključenost, izboljšuje dostop do storitev ter zagotavlja celovit pristop k vključevanju migrantov in drugih ranljivih skupin v lokalno okolje, pri čemer se preprečuje podvajanje financiranja in zagotavlja komplementarnost ukrepov.</w:t>
            </w:r>
          </w:p>
          <w:p w14:paraId="37CE58F0" w14:textId="77777777" w:rsidR="00B93DCC" w:rsidRPr="00BA2F00" w:rsidRDefault="00B93DCC" w:rsidP="00B93DCC">
            <w:pPr>
              <w:pStyle w:val="Institutionquisigne"/>
              <w:spacing w:before="0"/>
              <w:rPr>
                <w:b/>
                <w:bCs/>
                <w:i w:val="0"/>
                <w:sz w:val="22"/>
              </w:rPr>
            </w:pPr>
          </w:p>
          <w:p w14:paraId="0236AF8E" w14:textId="1600AFEF" w:rsidR="00B93DCC" w:rsidRPr="00BA2F00" w:rsidRDefault="00B93DCC" w:rsidP="00B93DCC">
            <w:pPr>
              <w:pStyle w:val="Institutionquisigne"/>
              <w:spacing w:before="0"/>
              <w:rPr>
                <w:i w:val="0"/>
                <w:sz w:val="22"/>
              </w:rPr>
            </w:pPr>
            <w:r w:rsidRPr="00BA2F00">
              <w:rPr>
                <w:i w:val="0"/>
                <w:sz w:val="22"/>
              </w:rPr>
              <w:t xml:space="preserve">Zaznana s tudi dopolnjevanja </w:t>
            </w:r>
            <w:r w:rsidR="007D3B0D" w:rsidRPr="00BA2F00">
              <w:rPr>
                <w:i w:val="0"/>
                <w:sz w:val="22"/>
              </w:rPr>
              <w:t>z</w:t>
            </w:r>
            <w:r w:rsidRPr="00BA2F00">
              <w:rPr>
                <w:i w:val="0"/>
                <w:sz w:val="22"/>
              </w:rPr>
              <w:t xml:space="preserve"> razpisi Urada Visokega komisariata Združenih narodov za begunce za aktivnosti usmerjene v učinkovitejše postopke mednarodne zaščite (npr. usposabljanje tolmačev, zagotavljanje pravnega svetovanja na 1. stopnji) ter financiranjem v okviru skupine solidarnostnih projektov Evropske solidarnostne enote. Gre za projekta #Mi2 za ozaveščanje o kulturnih razlikah in podobnostih. Osnovna izziva sta tako povezovanje različnih kultur ter informiranje udeležencev o pogostih komunikacijskih šumih (za predstavnike lokalnega okolja in migrante).</w:t>
            </w:r>
          </w:p>
          <w:p w14:paraId="06F98F30" w14:textId="77777777" w:rsidR="00B93DCC" w:rsidRPr="00BA2F00" w:rsidRDefault="00B93DCC" w:rsidP="00B93DCC">
            <w:pPr>
              <w:pStyle w:val="Institutionquisigne"/>
              <w:spacing w:before="0"/>
              <w:rPr>
                <w:i w:val="0"/>
                <w:sz w:val="22"/>
              </w:rPr>
            </w:pPr>
          </w:p>
          <w:p w14:paraId="2EF6EB8C" w14:textId="77777777" w:rsidR="00B93DCC" w:rsidRPr="00BA2F00" w:rsidRDefault="00B93DCC" w:rsidP="00B93DCC">
            <w:pPr>
              <w:pStyle w:val="Institutionquisigne"/>
              <w:spacing w:before="0"/>
              <w:rPr>
                <w:i w:val="0"/>
                <w:sz w:val="22"/>
              </w:rPr>
            </w:pPr>
            <w:r w:rsidRPr="00BA2F00">
              <w:rPr>
                <w:i w:val="0"/>
                <w:sz w:val="22"/>
              </w:rPr>
              <w:t xml:space="preserve">Takšno prepletanje različnih finančnih virov omogoča učinkovitejše izvajanje projektnih aktivnosti, večjo stabilnost pri njihovem načrtovanju in izvedbi ter bolj trajnostne učinke izvedenih aktivnosti. </w:t>
            </w:r>
          </w:p>
          <w:p w14:paraId="5F17EAE6" w14:textId="018D6E25" w:rsidR="00B93DCC" w:rsidRPr="00BA2F00" w:rsidRDefault="00B93DCC" w:rsidP="00B93DCC">
            <w:pPr>
              <w:pStyle w:val="Personnequisigne"/>
            </w:pPr>
          </w:p>
        </w:tc>
      </w:tr>
    </w:tbl>
    <w:p w14:paraId="6D3F08CB" w14:textId="77777777" w:rsidR="0087657F" w:rsidRPr="00BA2F00" w:rsidRDefault="00CF7D3B" w:rsidP="001E3DE5">
      <w:pPr>
        <w:pStyle w:val="ManualHeading1"/>
        <w:rPr>
          <w:noProof/>
          <w:sz w:val="22"/>
        </w:rPr>
      </w:pPr>
      <w:r w:rsidRPr="00BA2F00">
        <w:rPr>
          <w:sz w:val="22"/>
        </w:rPr>
        <w:t>3.</w:t>
      </w:r>
      <w:r w:rsidRPr="00BA2F00">
        <w:rPr>
          <w:sz w:val="22"/>
        </w:rPr>
        <w:tab/>
      </w:r>
      <w:r w:rsidR="0087657F" w:rsidRPr="00BA2F00">
        <w:rPr>
          <w:noProof/>
          <w:sz w:val="22"/>
        </w:rPr>
        <w:t>Izvajanje pravnega reda Unije, sodelovanje in solidarnost – člen 35(2), točka (d), Uredbe (EU) 2021/1147</w:t>
      </w:r>
    </w:p>
    <w:p w14:paraId="2641536D" w14:textId="77777777" w:rsidR="0087657F" w:rsidRPr="00BA2F00" w:rsidRDefault="007027D4" w:rsidP="001E3DE5">
      <w:pPr>
        <w:pStyle w:val="Titrearticle"/>
        <w:spacing w:before="240"/>
        <w:jc w:val="both"/>
        <w:rPr>
          <w:i w:val="0"/>
          <w:noProof/>
          <w:sz w:val="22"/>
        </w:rPr>
      </w:pPr>
      <w:r w:rsidRPr="00BA2F00">
        <w:rPr>
          <w:i w:val="0"/>
          <w:noProof/>
          <w:sz w:val="22"/>
        </w:rPr>
        <w:t>Na kratko opišite, kako je program med obračunskim letom prispeval k izvajanju pravnega reda Unije (prava Unije) na področju azila, zakonitih migracij, vključevanja, vračanja, nedovoljenih migracij in ustreznih akcijskih načrtov ter k sodelovanju in solidarnosti med državami članicami.</w:t>
      </w:r>
    </w:p>
    <w:tbl>
      <w:tblPr>
        <w:tblStyle w:val="Tabelamrea"/>
        <w:tblW w:w="0" w:type="auto"/>
        <w:tblLook w:val="04A0" w:firstRow="1" w:lastRow="0" w:firstColumn="1" w:lastColumn="0" w:noHBand="0" w:noVBand="1"/>
      </w:tblPr>
      <w:tblGrid>
        <w:gridCol w:w="9063"/>
      </w:tblGrid>
      <w:tr w:rsidR="00BA2F00" w:rsidRPr="00BA2F00" w14:paraId="0613BF1F" w14:textId="77777777" w:rsidTr="00E45665">
        <w:tc>
          <w:tcPr>
            <w:tcW w:w="9289" w:type="dxa"/>
          </w:tcPr>
          <w:p w14:paraId="6DBFEB5D" w14:textId="77777777" w:rsidR="000C3C36" w:rsidRPr="00BA2F00" w:rsidRDefault="000C3C36" w:rsidP="000C3C36">
            <w:pPr>
              <w:rPr>
                <w:sz w:val="22"/>
              </w:rPr>
            </w:pPr>
            <w:r w:rsidRPr="00BA2F00">
              <w:rPr>
                <w:sz w:val="22"/>
              </w:rPr>
              <w:t>V okviru Specifičnega cilja 1 se izvajajo operacije za implementacijo pravnega reda EU, zlasti Listine EU o temeljnih pravicah, Dublinske uredbe 604/2013/EU, Direktiv 2013/33/EU in 2013/32/EU ter relevantnih mednarodnih instrumentov (Konvencija o otrokovih pravicah, instrumenti na področju trgovine z ljudmi).</w:t>
            </w:r>
          </w:p>
          <w:p w14:paraId="76B53DE7" w14:textId="64DDC962" w:rsidR="000C3C36" w:rsidRPr="00BA2F00" w:rsidRDefault="000C3C36" w:rsidP="000C3C36">
            <w:pPr>
              <w:rPr>
                <w:sz w:val="22"/>
              </w:rPr>
            </w:pPr>
            <w:r w:rsidRPr="00BA2F00">
              <w:rPr>
                <w:sz w:val="22"/>
              </w:rPr>
              <w:t>Na tej podlagi se izvajajo določbe Zakona o mednarodni zaščiti (ZMZ-1) in Zakona o začasni zaščiti razseljenih oseb (ZZZRO-1), ki zagotavljajo zdravstveno, psihosocialno in nastanitveno oskrbo prosilcev, vključno s preventivnimi pregledi. Posebna pozornost je namenjena ranljivim skupinam in mladoletnikom brez spremstva (zastopanje, 24-urna oskrba, prilagojene nastanitve)</w:t>
            </w:r>
            <w:r w:rsidR="007D3B0D" w:rsidRPr="00BA2F00">
              <w:rPr>
                <w:sz w:val="22"/>
              </w:rPr>
              <w:t>.</w:t>
            </w:r>
          </w:p>
          <w:p w14:paraId="2214AF25" w14:textId="77777777" w:rsidR="000C3C36" w:rsidRPr="00BA2F00" w:rsidRDefault="000C3C36" w:rsidP="000C3C36">
            <w:pPr>
              <w:rPr>
                <w:sz w:val="22"/>
              </w:rPr>
            </w:pPr>
            <w:r w:rsidRPr="00BA2F00">
              <w:rPr>
                <w:sz w:val="22"/>
              </w:rPr>
              <w:t>Zagotavljajo se tudi procesna jamstva (tolmačenje, pravna pomoč) ter aktivnosti vključevanja (opismenjevanje, učenje jezika). Posebni ukrepi so namenjeni tudi žrtvam trgovine z ljudmi.</w:t>
            </w:r>
          </w:p>
          <w:p w14:paraId="0E8FEB65" w14:textId="77777777" w:rsidR="000C3C36" w:rsidRPr="00BA2F00" w:rsidRDefault="000C3C36" w:rsidP="000C3C36">
            <w:pPr>
              <w:rPr>
                <w:sz w:val="22"/>
              </w:rPr>
            </w:pPr>
            <w:r w:rsidRPr="00BA2F00">
              <w:rPr>
                <w:sz w:val="22"/>
              </w:rPr>
              <w:t>V okviru Specifičnega cilja 2 se izvajajo operacije skladno s pravnim redom EU (Direktiva 2001/55/ES, Direktiva 2013/33/EU, Akcijski načrt EU za integracijo 2021–2027).</w:t>
            </w:r>
          </w:p>
          <w:p w14:paraId="42464A13" w14:textId="77777777" w:rsidR="000C3C36" w:rsidRPr="00BA2F00" w:rsidRDefault="000C3C36" w:rsidP="000C3C36">
            <w:pPr>
              <w:rPr>
                <w:sz w:val="22"/>
              </w:rPr>
            </w:pPr>
            <w:r w:rsidRPr="00BA2F00">
              <w:rPr>
                <w:sz w:val="22"/>
              </w:rPr>
              <w:t xml:space="preserve">Na nacionalni ravni se izvajajo določbe Zakona o tujcih in ZMZ-1 ter podzakonskih aktov, ki urejajo vključevanje tujcev. Aktivnosti vključujejo učenje slovenskega jezika (tudi na </w:t>
            </w:r>
            <w:proofErr w:type="spellStart"/>
            <w:r w:rsidRPr="00BA2F00">
              <w:rPr>
                <w:sz w:val="22"/>
              </w:rPr>
              <w:t>preživetveni</w:t>
            </w:r>
            <w:proofErr w:type="spellEnd"/>
            <w:r w:rsidRPr="00BA2F00">
              <w:rPr>
                <w:sz w:val="22"/>
              </w:rPr>
              <w:t xml:space="preserve"> ravni), brezplačne izpite, finančne podpore ter druge integracijske ukrepe. Izvajajo se tudi usposabljanja in izmenjava dobrih praks za strokovno osebje.</w:t>
            </w:r>
          </w:p>
          <w:p w14:paraId="1D948037" w14:textId="77777777" w:rsidR="000C3C36" w:rsidRPr="00BA2F00" w:rsidRDefault="000C3C36" w:rsidP="000C3C36">
            <w:pPr>
              <w:rPr>
                <w:sz w:val="22"/>
              </w:rPr>
            </w:pPr>
            <w:r w:rsidRPr="00BA2F00">
              <w:rPr>
                <w:sz w:val="22"/>
              </w:rPr>
              <w:t>V okviru Specifičnega cilja 3 se izvajajo operacije za preprečevanje nezakonitih migracij ter vračanje, skladno z Direktivo 2008/115/EU, Schengenskim zakonikom in Listino EU o temeljnih pravicah.</w:t>
            </w:r>
          </w:p>
          <w:p w14:paraId="65077221" w14:textId="77777777" w:rsidR="000C3C36" w:rsidRPr="00BA2F00" w:rsidRDefault="000C3C36" w:rsidP="000C3C36">
            <w:pPr>
              <w:rPr>
                <w:sz w:val="22"/>
              </w:rPr>
            </w:pPr>
            <w:r w:rsidRPr="00BA2F00">
              <w:rPr>
                <w:sz w:val="22"/>
              </w:rPr>
              <w:t>Na nacionalni ravni temeljijo na Zakonu o tujcih in Zakonu o nalogah in pooblastilih policije. Aktivnosti vključujejo prostovoljna in prisilna vračanja, zagotavljanje ustreznih pogojev bivanja ter sodelovanje z mednarodnimi partnerji, ob upoštevanju priporočil relevantnih institucij.</w:t>
            </w:r>
          </w:p>
          <w:p w14:paraId="1BE30036" w14:textId="61E42140" w:rsidR="005078B1" w:rsidRPr="00BA2F00" w:rsidRDefault="005078B1" w:rsidP="005078B1">
            <w:pPr>
              <w:rPr>
                <w:sz w:val="22"/>
              </w:rPr>
            </w:pPr>
            <w:r w:rsidRPr="00BA2F00">
              <w:rPr>
                <w:sz w:val="22"/>
              </w:rPr>
              <w:t>V okviru Specifičnega cilja 4 smo, skladno z Odobritven</w:t>
            </w:r>
            <w:r w:rsidR="00DE0FB9" w:rsidRPr="00BA2F00">
              <w:rPr>
                <w:sz w:val="22"/>
              </w:rPr>
              <w:t>i</w:t>
            </w:r>
            <w:r w:rsidRPr="00BA2F00">
              <w:rPr>
                <w:sz w:val="22"/>
              </w:rPr>
              <w:t xml:space="preserve">m dopisom EK </w:t>
            </w:r>
            <w:proofErr w:type="spellStart"/>
            <w:r w:rsidRPr="00BA2F00">
              <w:rPr>
                <w:sz w:val="22"/>
              </w:rPr>
              <w:t>Ares</w:t>
            </w:r>
            <w:proofErr w:type="spellEnd"/>
            <w:r w:rsidRPr="00BA2F00">
              <w:rPr>
                <w:sz w:val="22"/>
              </w:rPr>
              <w:t xml:space="preserve"> (2023)8726130 – 19/12/2023S in </w:t>
            </w:r>
            <w:proofErr w:type="spellStart"/>
            <w:r w:rsidRPr="00BA2F00">
              <w:rPr>
                <w:sz w:val="22"/>
              </w:rPr>
              <w:t>Ares</w:t>
            </w:r>
            <w:proofErr w:type="spellEnd"/>
            <w:r w:rsidRPr="00BA2F00">
              <w:rPr>
                <w:sz w:val="22"/>
              </w:rPr>
              <w:t xml:space="preserve"> (2023)2866217 - 24/04/2023, sredstva namenili za izvedbo</w:t>
            </w:r>
            <w:r w:rsidR="00543EAA" w:rsidRPr="00BA2F00">
              <w:rPr>
                <w:sz w:val="22"/>
              </w:rPr>
              <w:t xml:space="preserve"> p</w:t>
            </w:r>
            <w:r w:rsidRPr="00BA2F00">
              <w:rPr>
                <w:sz w:val="22"/>
              </w:rPr>
              <w:t xml:space="preserve">remestitev in </w:t>
            </w:r>
            <w:r w:rsidR="00543EAA" w:rsidRPr="00BA2F00">
              <w:rPr>
                <w:sz w:val="22"/>
              </w:rPr>
              <w:t>p</w:t>
            </w:r>
            <w:r w:rsidRPr="00BA2F00">
              <w:rPr>
                <w:sz w:val="22"/>
              </w:rPr>
              <w:t>reselitev</w:t>
            </w:r>
            <w:r w:rsidR="00EA47C0" w:rsidRPr="00BA2F00">
              <w:rPr>
                <w:sz w:val="22"/>
              </w:rPr>
              <w:t>, k</w:t>
            </w:r>
            <w:r w:rsidR="00543EAA" w:rsidRPr="00BA2F00">
              <w:rPr>
                <w:sz w:val="22"/>
              </w:rPr>
              <w:t>ar</w:t>
            </w:r>
            <w:r w:rsidR="00EA47C0" w:rsidRPr="00BA2F00">
              <w:rPr>
                <w:sz w:val="22"/>
              </w:rPr>
              <w:t xml:space="preserve"> </w:t>
            </w:r>
            <w:r w:rsidRPr="00BA2F00">
              <w:rPr>
                <w:sz w:val="22"/>
              </w:rPr>
              <w:t>implementirata načelo obvezne in prilagodljive solidarnosti iz Pakta o migracijah in azilu ter Evropsko agendo o migracijah</w:t>
            </w:r>
            <w:r w:rsidR="00EA47C0" w:rsidRPr="00BA2F00">
              <w:rPr>
                <w:sz w:val="22"/>
              </w:rPr>
              <w:t xml:space="preserve"> ter </w:t>
            </w:r>
            <w:r w:rsidRPr="00BA2F00">
              <w:rPr>
                <w:sz w:val="22"/>
              </w:rPr>
              <w:t>Zakon o mednarodni zaščiti.</w:t>
            </w:r>
          </w:p>
          <w:p w14:paraId="4F964A25" w14:textId="0599CCC5" w:rsidR="006A0BCC" w:rsidRPr="00BA2F00" w:rsidRDefault="006A0BCC" w:rsidP="005078B1">
            <w:pPr>
              <w:rPr>
                <w:sz w:val="22"/>
              </w:rPr>
            </w:pPr>
            <w:r w:rsidRPr="00BA2F00">
              <w:rPr>
                <w:sz w:val="22"/>
              </w:rPr>
              <w:t>EU je z novimi pravili na področju migracij in azila vzpostavila sistem skupnega upravljanja migracij in azila</w:t>
            </w:r>
            <w:r w:rsidR="00361FB0" w:rsidRPr="00BA2F00">
              <w:rPr>
                <w:sz w:val="22"/>
              </w:rPr>
              <w:t xml:space="preserve">, katerega </w:t>
            </w:r>
            <w:r w:rsidRPr="00BA2F00">
              <w:rPr>
                <w:sz w:val="22"/>
              </w:rPr>
              <w:t xml:space="preserve">uveljavljanje </w:t>
            </w:r>
            <w:r w:rsidR="00361FB0" w:rsidRPr="00BA2F00">
              <w:rPr>
                <w:sz w:val="22"/>
              </w:rPr>
              <w:t xml:space="preserve">je </w:t>
            </w:r>
            <w:r w:rsidRPr="00BA2F00">
              <w:rPr>
                <w:sz w:val="22"/>
              </w:rPr>
              <w:t>predvideno od junija 2026. Slovenija se je v obdobju poročanja in intenzivno pripravljala na uporabo nove zakonodaje (s pripravo nacionalnih programov</w:t>
            </w:r>
            <w:r w:rsidR="00361FB0" w:rsidRPr="00BA2F00">
              <w:rPr>
                <w:sz w:val="22"/>
              </w:rPr>
              <w:t xml:space="preserve"> </w:t>
            </w:r>
            <w:r w:rsidRPr="00BA2F00">
              <w:rPr>
                <w:sz w:val="22"/>
              </w:rPr>
              <w:t>in sistem</w:t>
            </w:r>
            <w:r w:rsidR="00361FB0" w:rsidRPr="00BA2F00">
              <w:rPr>
                <w:sz w:val="22"/>
              </w:rPr>
              <w:t>ov</w:t>
            </w:r>
            <w:r w:rsidRPr="00BA2F00">
              <w:rPr>
                <w:sz w:val="22"/>
              </w:rPr>
              <w:t xml:space="preserve"> za uresničitev novih pravil), sledi tudi sprejem prilagojenih pravnih aktov</w:t>
            </w:r>
            <w:r w:rsidR="00361FB0" w:rsidRPr="00BA2F00">
              <w:rPr>
                <w:sz w:val="22"/>
              </w:rPr>
              <w:t xml:space="preserve"> (Zakon o mednarodni zaščiti, Zakon o tujcih, Zakon o nalogah in pooblastilih policije, Zakon o nadzoru državne meje ter zakonodaje, ki ureja organizacijo pravosodja in sodno varstvo, zaposlovanje in delo, izobraževanje, skrbništva, varstva osebnih podatkov).</w:t>
            </w:r>
            <w:r w:rsidRPr="00BA2F00">
              <w:rPr>
                <w:sz w:val="22"/>
              </w:rPr>
              <w:t xml:space="preserve"> </w:t>
            </w:r>
          </w:p>
          <w:p w14:paraId="1FF145E9" w14:textId="2E7F4FC7" w:rsidR="00FA510E" w:rsidRPr="00BA2F00" w:rsidRDefault="00FA510E" w:rsidP="001E3DE5">
            <w:pPr>
              <w:tabs>
                <w:tab w:val="left" w:pos="4252"/>
              </w:tabs>
              <w:autoSpaceDE w:val="0"/>
              <w:autoSpaceDN w:val="0"/>
              <w:adjustRightInd w:val="0"/>
              <w:spacing w:after="0"/>
              <w:rPr>
                <w:b/>
                <w:sz w:val="22"/>
              </w:rPr>
            </w:pPr>
          </w:p>
        </w:tc>
      </w:tr>
    </w:tbl>
    <w:p w14:paraId="3E97BE53" w14:textId="77777777" w:rsidR="0087657F" w:rsidRPr="00BA2F00" w:rsidRDefault="00CF7D3B" w:rsidP="001E3DE5">
      <w:pPr>
        <w:pStyle w:val="ManualHeading1"/>
        <w:rPr>
          <w:noProof/>
          <w:sz w:val="22"/>
        </w:rPr>
      </w:pPr>
      <w:r w:rsidRPr="00BA2F00">
        <w:rPr>
          <w:sz w:val="22"/>
        </w:rPr>
        <w:t>4.</w:t>
      </w:r>
      <w:r w:rsidRPr="00BA2F00">
        <w:rPr>
          <w:sz w:val="22"/>
        </w:rPr>
        <w:tab/>
      </w:r>
      <w:r w:rsidR="0087657F" w:rsidRPr="00BA2F00">
        <w:rPr>
          <w:noProof/>
          <w:sz w:val="22"/>
        </w:rPr>
        <w:t>Komuniciranje in prepoznavnost – člen 35(2), točka (e), Uredbe (EU) 2021/1147</w:t>
      </w:r>
    </w:p>
    <w:p w14:paraId="5E6D3EDE" w14:textId="77777777" w:rsidR="0087657F" w:rsidRPr="00BA2F00" w:rsidRDefault="007027D4" w:rsidP="001E3DE5">
      <w:pPr>
        <w:pStyle w:val="Titrearticle"/>
        <w:spacing w:before="240"/>
        <w:jc w:val="both"/>
        <w:rPr>
          <w:i w:val="0"/>
          <w:noProof/>
          <w:sz w:val="22"/>
        </w:rPr>
      </w:pPr>
      <w:r w:rsidRPr="00BA2F00">
        <w:rPr>
          <w:i w:val="0"/>
          <w:noProof/>
          <w:sz w:val="22"/>
        </w:rPr>
        <w:t>Opišite, kako so se med obračunskim letom izvajale dejavnosti v zvezi s komuniciranjem in prepoznavnostjo. Navedite zlasti napredek, dosežen v zvezi s cilji, določenimi v komunikacijski strategiji, kot se meri z ustreznimi kazalniki in njihovimi ciljnimi vrednostmi. Če je ustrezno, opišite morebitne dobre prakse pri doseganju ciljnih skupin in/ali razširjanju in izkoriščanju rezultatov projektov.</w:t>
      </w:r>
    </w:p>
    <w:tbl>
      <w:tblPr>
        <w:tblStyle w:val="Tabelamrea"/>
        <w:tblW w:w="0" w:type="auto"/>
        <w:tblLook w:val="04A0" w:firstRow="1" w:lastRow="0" w:firstColumn="1" w:lastColumn="0" w:noHBand="0" w:noVBand="1"/>
      </w:tblPr>
      <w:tblGrid>
        <w:gridCol w:w="9063"/>
      </w:tblGrid>
      <w:tr w:rsidR="00BA2F00" w:rsidRPr="00BA2F00" w14:paraId="68E68F1E" w14:textId="77777777" w:rsidTr="009F2EE5">
        <w:trPr>
          <w:trHeight w:val="341"/>
        </w:trPr>
        <w:tc>
          <w:tcPr>
            <w:tcW w:w="9289" w:type="dxa"/>
          </w:tcPr>
          <w:p w14:paraId="4CC67D33" w14:textId="335D81A4" w:rsidR="00E31AE8" w:rsidRPr="00BA2F00" w:rsidRDefault="00E31AE8" w:rsidP="00E31AE8">
            <w:pPr>
              <w:pStyle w:val="Personnequisigne"/>
              <w:jc w:val="both"/>
              <w:rPr>
                <w:i w:val="0"/>
                <w:sz w:val="22"/>
              </w:rPr>
            </w:pPr>
            <w:bookmarkStart w:id="0" w:name="_Hlk219891038"/>
            <w:r w:rsidRPr="00BA2F00">
              <w:rPr>
                <w:i w:val="0"/>
                <w:noProof/>
                <w:sz w:val="22"/>
              </w:rPr>
              <w:t>Slovenija je v obračunskem obdobju poročanja sledila vzpostavljeni dobri praksi v</w:t>
            </w:r>
            <w:r w:rsidR="00DE0FB9" w:rsidRPr="00BA2F00">
              <w:rPr>
                <w:i w:val="0"/>
                <w:noProof/>
                <w:sz w:val="22"/>
              </w:rPr>
              <w:t xml:space="preserve"> </w:t>
            </w:r>
            <w:r w:rsidRPr="00BA2F00">
              <w:rPr>
                <w:i w:val="0"/>
                <w:noProof/>
                <w:sz w:val="22"/>
              </w:rPr>
              <w:t xml:space="preserve">zvezi s komunikacijskimi aktivnostmi za promocijo ukrepov financiranih iz programa AMIF. </w:t>
            </w:r>
          </w:p>
          <w:p w14:paraId="75BDF17B" w14:textId="77777777" w:rsidR="00E31AE8" w:rsidRPr="00BA2F00" w:rsidRDefault="00E31AE8" w:rsidP="00E31AE8">
            <w:pPr>
              <w:tabs>
                <w:tab w:val="left" w:pos="4252"/>
              </w:tabs>
              <w:autoSpaceDE w:val="0"/>
              <w:autoSpaceDN w:val="0"/>
              <w:adjustRightInd w:val="0"/>
              <w:spacing w:before="0" w:after="0"/>
              <w:rPr>
                <w:sz w:val="22"/>
              </w:rPr>
            </w:pPr>
          </w:p>
          <w:p w14:paraId="12E5E15D" w14:textId="2C79A01A" w:rsidR="00E31AE8" w:rsidRPr="00BA2F00" w:rsidRDefault="00E31AE8" w:rsidP="00E31AE8">
            <w:pPr>
              <w:tabs>
                <w:tab w:val="left" w:pos="4252"/>
              </w:tabs>
              <w:autoSpaceDE w:val="0"/>
              <w:autoSpaceDN w:val="0"/>
              <w:adjustRightInd w:val="0"/>
              <w:spacing w:before="0" w:after="0"/>
              <w:rPr>
                <w:sz w:val="22"/>
              </w:rPr>
            </w:pPr>
            <w:r w:rsidRPr="00BA2F00">
              <w:rPr>
                <w:sz w:val="22"/>
              </w:rPr>
              <w:t>Za promocijo možnosti, ki jih ponujajo EU skladi, je bilo načrtovanih 6 -</w:t>
            </w:r>
            <w:r w:rsidR="00E143DA" w:rsidRPr="00BA2F00">
              <w:rPr>
                <w:sz w:val="22"/>
              </w:rPr>
              <w:t xml:space="preserve"> </w:t>
            </w:r>
            <w:r w:rsidRPr="00BA2F00">
              <w:rPr>
                <w:b/>
                <w:bCs/>
                <w:sz w:val="22"/>
              </w:rPr>
              <w:t>Potujočih pisarn,</w:t>
            </w:r>
            <w:r w:rsidRPr="00BA2F00">
              <w:rPr>
                <w:sz w:val="22"/>
              </w:rPr>
              <w:t xml:space="preserve"> organiziranih v sodelovanju z lokalnimi skupnostnimi in promoviranih na spletu in socialnih omrežjih. </w:t>
            </w:r>
            <w:r w:rsidR="00976F59" w:rsidRPr="00BA2F00">
              <w:rPr>
                <w:sz w:val="22"/>
              </w:rPr>
              <w:t xml:space="preserve">AMIF smo predstavili na 3 - </w:t>
            </w:r>
            <w:r w:rsidRPr="00BA2F00">
              <w:rPr>
                <w:sz w:val="22"/>
              </w:rPr>
              <w:t>Postojna, Vinica in Ljubljana</w:t>
            </w:r>
            <w:r w:rsidR="00976F59" w:rsidRPr="00BA2F00">
              <w:rPr>
                <w:sz w:val="22"/>
              </w:rPr>
              <w:t>, u</w:t>
            </w:r>
            <w:r w:rsidRPr="00BA2F00">
              <w:rPr>
                <w:sz w:val="22"/>
              </w:rPr>
              <w:t>deležence</w:t>
            </w:r>
            <w:r w:rsidR="00976F59" w:rsidRPr="00BA2F00">
              <w:rPr>
                <w:sz w:val="22"/>
              </w:rPr>
              <w:t xml:space="preserve">v je bilo </w:t>
            </w:r>
            <w:r w:rsidRPr="00BA2F00">
              <w:rPr>
                <w:sz w:val="22"/>
              </w:rPr>
              <w:t>50 do 100</w:t>
            </w:r>
            <w:r w:rsidR="00976F59" w:rsidRPr="00BA2F00">
              <w:rPr>
                <w:sz w:val="22"/>
              </w:rPr>
              <w:t>, odvisno od lokacije.</w:t>
            </w:r>
          </w:p>
          <w:p w14:paraId="180372FF" w14:textId="77777777" w:rsidR="00E31AE8" w:rsidRPr="00BA2F00" w:rsidRDefault="00E31AE8" w:rsidP="00E31AE8">
            <w:pPr>
              <w:autoSpaceDE w:val="0"/>
              <w:autoSpaceDN w:val="0"/>
              <w:adjustRightInd w:val="0"/>
              <w:spacing w:before="0" w:after="0"/>
              <w:rPr>
                <w:b/>
                <w:sz w:val="22"/>
              </w:rPr>
            </w:pPr>
          </w:p>
          <w:p w14:paraId="01C32CA7" w14:textId="49E97C14" w:rsidR="00E31AE8" w:rsidRPr="00BA2F00" w:rsidRDefault="00E31AE8" w:rsidP="000F295D">
            <w:pPr>
              <w:autoSpaceDE w:val="0"/>
              <w:autoSpaceDN w:val="0"/>
              <w:adjustRightInd w:val="0"/>
              <w:spacing w:before="0" w:after="0"/>
              <w:rPr>
                <w:sz w:val="22"/>
              </w:rPr>
            </w:pPr>
            <w:r w:rsidRPr="00BA2F00">
              <w:rPr>
                <w:bCs/>
                <w:sz w:val="22"/>
              </w:rPr>
              <w:t xml:space="preserve">V okviru promocijske akcije </w:t>
            </w:r>
            <w:r w:rsidRPr="00BA2F00">
              <w:rPr>
                <w:b/>
                <w:sz w:val="22"/>
              </w:rPr>
              <w:t>»EU projekt, moj projekt 2024«</w:t>
            </w:r>
            <w:r w:rsidRPr="00BA2F00">
              <w:rPr>
                <w:bCs/>
                <w:sz w:val="22"/>
              </w:rPr>
              <w:t xml:space="preserve"> je bilo na ravni Slovenije v začetku leta 2024 izbranih 20 projektov, (so)financiranih iz EU sredstev, ki so izvedli predstavitve, eden pa je bil izbran za zmagovalnega. </w:t>
            </w:r>
            <w:r w:rsidR="00E143DA" w:rsidRPr="00BA2F00">
              <w:rPr>
                <w:bCs/>
                <w:sz w:val="22"/>
              </w:rPr>
              <w:t>P</w:t>
            </w:r>
            <w:r w:rsidRPr="00BA2F00">
              <w:rPr>
                <w:bCs/>
                <w:sz w:val="22"/>
              </w:rPr>
              <w:t>rogram AMIF</w:t>
            </w:r>
            <w:r w:rsidR="00E143DA" w:rsidRPr="00BA2F00">
              <w:rPr>
                <w:bCs/>
                <w:sz w:val="22"/>
              </w:rPr>
              <w:t xml:space="preserve"> je</w:t>
            </w:r>
            <w:r w:rsidRPr="00BA2F00">
              <w:rPr>
                <w:bCs/>
                <w:sz w:val="22"/>
              </w:rPr>
              <w:t xml:space="preserve"> </w:t>
            </w:r>
            <w:proofErr w:type="spellStart"/>
            <w:r w:rsidR="00E143DA" w:rsidRPr="00BA2F00">
              <w:rPr>
                <w:bCs/>
                <w:sz w:val="22"/>
              </w:rPr>
              <w:t>predstv</w:t>
            </w:r>
            <w:r w:rsidR="001439EA" w:rsidRPr="00BA2F00">
              <w:rPr>
                <w:bCs/>
                <w:sz w:val="22"/>
              </w:rPr>
              <w:t>avljal</w:t>
            </w:r>
            <w:r w:rsidR="000F295D" w:rsidRPr="00BA2F00">
              <w:rPr>
                <w:bCs/>
                <w:sz w:val="22"/>
              </w:rPr>
              <w:t>a</w:t>
            </w:r>
            <w:proofErr w:type="spellEnd"/>
            <w:r w:rsidR="000F295D" w:rsidRPr="00BA2F00">
              <w:rPr>
                <w:bCs/>
                <w:sz w:val="22"/>
              </w:rPr>
              <w:t xml:space="preserve"> operacija - </w:t>
            </w:r>
            <w:r w:rsidRPr="00BA2F00">
              <w:rPr>
                <w:sz w:val="22"/>
              </w:rPr>
              <w:t>Nastanitev in oskrba otrok brez spremstva</w:t>
            </w:r>
            <w:r w:rsidR="000F295D" w:rsidRPr="00BA2F00">
              <w:rPr>
                <w:sz w:val="22"/>
              </w:rPr>
              <w:t>. V ta namen je</w:t>
            </w:r>
            <w:r w:rsidRPr="00BA2F00">
              <w:rPr>
                <w:sz w:val="22"/>
              </w:rPr>
              <w:t xml:space="preserve"> 7. 9. 2024</w:t>
            </w:r>
            <w:r w:rsidR="000F295D" w:rsidRPr="00BA2F00">
              <w:rPr>
                <w:sz w:val="22"/>
              </w:rPr>
              <w:t xml:space="preserve">, </w:t>
            </w:r>
            <w:r w:rsidRPr="00BA2F00">
              <w:rPr>
                <w:sz w:val="22"/>
              </w:rPr>
              <w:t>v Postojni</w:t>
            </w:r>
            <w:r w:rsidR="000F295D" w:rsidRPr="00BA2F00">
              <w:rPr>
                <w:sz w:val="22"/>
              </w:rPr>
              <w:t xml:space="preserve">, </w:t>
            </w:r>
            <w:r w:rsidRPr="00BA2F00">
              <w:rPr>
                <w:sz w:val="22"/>
              </w:rPr>
              <w:t>uspešno izpeljal nogometni turnir pod sloganom »S športom do strpnosti«.</w:t>
            </w:r>
            <w:r w:rsidR="00A931B1" w:rsidRPr="00BA2F00">
              <w:rPr>
                <w:sz w:val="22"/>
              </w:rPr>
              <w:t xml:space="preserve">, kjer so </w:t>
            </w:r>
            <w:r w:rsidRPr="00BA2F00">
              <w:rPr>
                <w:sz w:val="22"/>
              </w:rPr>
              <w:t>zmagovalni pokal dvignili mladoletniki brez staršev</w:t>
            </w:r>
            <w:r w:rsidR="00A931B1" w:rsidRPr="00BA2F00">
              <w:rPr>
                <w:sz w:val="22"/>
              </w:rPr>
              <w:t>.</w:t>
            </w:r>
          </w:p>
          <w:p w14:paraId="3794AC07" w14:textId="77777777" w:rsidR="00E31AE8" w:rsidRPr="00BA2F00" w:rsidRDefault="00E31AE8" w:rsidP="00E31AE8">
            <w:pPr>
              <w:tabs>
                <w:tab w:val="left" w:pos="4252"/>
              </w:tabs>
              <w:autoSpaceDE w:val="0"/>
              <w:autoSpaceDN w:val="0"/>
              <w:adjustRightInd w:val="0"/>
              <w:spacing w:before="0" w:after="0"/>
              <w:rPr>
                <w:bCs/>
                <w:sz w:val="22"/>
              </w:rPr>
            </w:pPr>
          </w:p>
          <w:p w14:paraId="5D986C93" w14:textId="1E1F14C2" w:rsidR="00E31AE8" w:rsidRPr="00BA2F00" w:rsidRDefault="00E31AE8" w:rsidP="00E31AE8">
            <w:pPr>
              <w:tabs>
                <w:tab w:val="left" w:pos="4252"/>
              </w:tabs>
              <w:autoSpaceDE w:val="0"/>
              <w:autoSpaceDN w:val="0"/>
              <w:adjustRightInd w:val="0"/>
              <w:spacing w:before="0" w:after="0"/>
              <w:rPr>
                <w:bCs/>
                <w:sz w:val="22"/>
              </w:rPr>
            </w:pPr>
            <w:r w:rsidRPr="00BA2F00">
              <w:rPr>
                <w:bCs/>
                <w:sz w:val="22"/>
              </w:rPr>
              <w:t>Dogod</w:t>
            </w:r>
            <w:r w:rsidR="000F295D" w:rsidRPr="00BA2F00">
              <w:rPr>
                <w:bCs/>
                <w:sz w:val="22"/>
              </w:rPr>
              <w:t>ek</w:t>
            </w:r>
            <w:r w:rsidRPr="00BA2F00">
              <w:rPr>
                <w:bCs/>
                <w:sz w:val="22"/>
              </w:rPr>
              <w:t xml:space="preserve"> smo promovirali preko tiskanih medijev (doseg medija 117.000 oseb), spletnih strani (Evropska sredstva, spletne strani upravičencev), socialnih omrežij (FB - doseg do 50.000 oseb in LN- doseg okoli 4.000 oseb), radia (doseg okoli 14.000) in televizije (doseg oglasov </w:t>
            </w:r>
            <w:r w:rsidR="000F295D" w:rsidRPr="00BA2F00">
              <w:rPr>
                <w:bCs/>
                <w:sz w:val="22"/>
              </w:rPr>
              <w:t>nad</w:t>
            </w:r>
            <w:r w:rsidRPr="00BA2F00">
              <w:rPr>
                <w:bCs/>
                <w:sz w:val="22"/>
              </w:rPr>
              <w:t xml:space="preserve"> 25.000).</w:t>
            </w:r>
          </w:p>
          <w:p w14:paraId="3B8A20B0" w14:textId="77777777" w:rsidR="00E31AE8" w:rsidRPr="00BA2F00" w:rsidRDefault="00E31AE8" w:rsidP="00E31AE8">
            <w:pPr>
              <w:tabs>
                <w:tab w:val="left" w:pos="4252"/>
              </w:tabs>
              <w:autoSpaceDE w:val="0"/>
              <w:autoSpaceDN w:val="0"/>
              <w:adjustRightInd w:val="0"/>
              <w:spacing w:before="0" w:after="0"/>
              <w:rPr>
                <w:sz w:val="22"/>
              </w:rPr>
            </w:pPr>
          </w:p>
          <w:p w14:paraId="3D14DF3F" w14:textId="4D5DB0C8" w:rsidR="00E31AE8" w:rsidRPr="00BA2F00" w:rsidRDefault="00E31AE8" w:rsidP="00E31AE8">
            <w:pPr>
              <w:tabs>
                <w:tab w:val="left" w:pos="4252"/>
              </w:tabs>
              <w:autoSpaceDE w:val="0"/>
              <w:autoSpaceDN w:val="0"/>
              <w:adjustRightInd w:val="0"/>
              <w:spacing w:before="0" w:after="0"/>
              <w:rPr>
                <w:bCs/>
                <w:sz w:val="22"/>
              </w:rPr>
            </w:pPr>
            <w:r w:rsidRPr="00BA2F00">
              <w:rPr>
                <w:bCs/>
                <w:sz w:val="22"/>
              </w:rPr>
              <w:t xml:space="preserve">V letu 2025 smo nadaljevali s promocijsko akcijo </w:t>
            </w:r>
            <w:r w:rsidRPr="00BA2F00">
              <w:rPr>
                <w:b/>
                <w:sz w:val="22"/>
              </w:rPr>
              <w:t>»EU projekt, moj projekt 2025«</w:t>
            </w:r>
            <w:r w:rsidRPr="00BA2F00">
              <w:rPr>
                <w:bCs/>
                <w:sz w:val="22"/>
              </w:rPr>
              <w:t>, izbran je bil zmagovalec in razglašen na dogodku o Dnevu Evrope. AMIF</w:t>
            </w:r>
            <w:r w:rsidR="008F0E39" w:rsidRPr="00BA2F00">
              <w:rPr>
                <w:bCs/>
                <w:sz w:val="22"/>
              </w:rPr>
              <w:t xml:space="preserve"> je</w:t>
            </w:r>
            <w:r w:rsidRPr="00BA2F00">
              <w:rPr>
                <w:bCs/>
                <w:sz w:val="22"/>
              </w:rPr>
              <w:t xml:space="preserve"> </w:t>
            </w:r>
            <w:r w:rsidR="00DD4720" w:rsidRPr="00BA2F00">
              <w:rPr>
                <w:bCs/>
                <w:sz w:val="22"/>
              </w:rPr>
              <w:t xml:space="preserve">predstavljala </w:t>
            </w:r>
            <w:r w:rsidR="008F0E39" w:rsidRPr="00BA2F00">
              <w:rPr>
                <w:bCs/>
                <w:sz w:val="22"/>
              </w:rPr>
              <w:t xml:space="preserve">operacija </w:t>
            </w:r>
            <w:r w:rsidRPr="00BA2F00">
              <w:rPr>
                <w:bCs/>
                <w:sz w:val="22"/>
              </w:rPr>
              <w:t>Tečaji Slovenskega jezika</w:t>
            </w:r>
            <w:r w:rsidR="00055805" w:rsidRPr="00BA2F00">
              <w:rPr>
                <w:bCs/>
                <w:sz w:val="22"/>
              </w:rPr>
              <w:t>, k</w:t>
            </w:r>
            <w:r w:rsidR="00C133F5" w:rsidRPr="00BA2F00">
              <w:rPr>
                <w:bCs/>
                <w:sz w:val="22"/>
              </w:rPr>
              <w:t>i</w:t>
            </w:r>
            <w:r w:rsidR="00055805" w:rsidRPr="00BA2F00">
              <w:rPr>
                <w:bCs/>
                <w:sz w:val="22"/>
              </w:rPr>
              <w:t xml:space="preserve"> bo </w:t>
            </w:r>
            <w:r w:rsidRPr="00BA2F00">
              <w:rPr>
                <w:sz w:val="22"/>
              </w:rPr>
              <w:t>predmet naslednjega poročanja.</w:t>
            </w:r>
          </w:p>
          <w:p w14:paraId="64C54F86" w14:textId="7E12B781" w:rsidR="00E31AE8" w:rsidRPr="00BA2F00" w:rsidRDefault="00DD4720" w:rsidP="00E31AE8">
            <w:pPr>
              <w:autoSpaceDE w:val="0"/>
              <w:autoSpaceDN w:val="0"/>
              <w:adjustRightInd w:val="0"/>
              <w:spacing w:before="240" w:after="0"/>
              <w:rPr>
                <w:sz w:val="22"/>
              </w:rPr>
            </w:pPr>
            <w:r w:rsidRPr="00BA2F00">
              <w:rPr>
                <w:b/>
                <w:bCs/>
                <w:sz w:val="22"/>
              </w:rPr>
              <w:t>O</w:t>
            </w:r>
            <w:r w:rsidR="00E31AE8" w:rsidRPr="00BA2F00">
              <w:rPr>
                <w:b/>
                <w:bCs/>
                <w:sz w:val="22"/>
              </w:rPr>
              <w:t>beleži</w:t>
            </w:r>
            <w:r w:rsidRPr="00BA2F00">
              <w:rPr>
                <w:b/>
                <w:bCs/>
                <w:sz w:val="22"/>
              </w:rPr>
              <w:t xml:space="preserve">li smo </w:t>
            </w:r>
            <w:r w:rsidR="00E31AE8" w:rsidRPr="00BA2F00">
              <w:rPr>
                <w:b/>
                <w:bCs/>
                <w:sz w:val="22"/>
              </w:rPr>
              <w:t>D</w:t>
            </w:r>
            <w:r w:rsidRPr="00BA2F00">
              <w:rPr>
                <w:b/>
                <w:bCs/>
                <w:sz w:val="22"/>
              </w:rPr>
              <w:t>an</w:t>
            </w:r>
            <w:r w:rsidR="00E31AE8" w:rsidRPr="00BA2F00">
              <w:rPr>
                <w:b/>
                <w:bCs/>
                <w:sz w:val="22"/>
              </w:rPr>
              <w:t xml:space="preserve"> Evrope</w:t>
            </w:r>
            <w:r w:rsidR="00E31AE8" w:rsidRPr="00BA2F00">
              <w:rPr>
                <w:sz w:val="22"/>
              </w:rPr>
              <w:t>, 9.</w:t>
            </w:r>
            <w:r w:rsidR="00DE0FB9" w:rsidRPr="00BA2F00">
              <w:rPr>
                <w:sz w:val="22"/>
              </w:rPr>
              <w:t> </w:t>
            </w:r>
            <w:r w:rsidR="00E31AE8" w:rsidRPr="00BA2F00">
              <w:rPr>
                <w:sz w:val="22"/>
              </w:rPr>
              <w:t>5.</w:t>
            </w:r>
            <w:r w:rsidR="00DE0FB9" w:rsidRPr="00BA2F00">
              <w:rPr>
                <w:sz w:val="22"/>
              </w:rPr>
              <w:t> </w:t>
            </w:r>
            <w:r w:rsidR="00E31AE8" w:rsidRPr="00BA2F00">
              <w:rPr>
                <w:sz w:val="22"/>
              </w:rPr>
              <w:t xml:space="preserve">2025, dogodek </w:t>
            </w:r>
            <w:r w:rsidRPr="00BA2F00">
              <w:rPr>
                <w:sz w:val="22"/>
              </w:rPr>
              <w:t xml:space="preserve">na prostem, </w:t>
            </w:r>
            <w:r w:rsidR="00E31AE8" w:rsidRPr="00BA2F00">
              <w:rPr>
                <w:sz w:val="22"/>
              </w:rPr>
              <w:t>odprtega tipa za splošno in zainteresirano javnost</w:t>
            </w:r>
            <w:r w:rsidRPr="00BA2F00">
              <w:rPr>
                <w:sz w:val="22"/>
              </w:rPr>
              <w:t>, z nagovorom predsednice države</w:t>
            </w:r>
            <w:r w:rsidR="00055805" w:rsidRPr="00BA2F00">
              <w:rPr>
                <w:sz w:val="22"/>
              </w:rPr>
              <w:t>, kjer so s</w:t>
            </w:r>
            <w:r w:rsidR="00E31AE8" w:rsidRPr="00BA2F00">
              <w:rPr>
                <w:sz w:val="22"/>
              </w:rPr>
              <w:t>odelovali vsi CPR skladi</w:t>
            </w:r>
            <w:r w:rsidRPr="00BA2F00">
              <w:rPr>
                <w:sz w:val="22"/>
              </w:rPr>
              <w:t xml:space="preserve">, </w:t>
            </w:r>
            <w:r w:rsidR="00E31AE8" w:rsidRPr="00BA2F00">
              <w:rPr>
                <w:sz w:val="22"/>
              </w:rPr>
              <w:t>AMIF</w:t>
            </w:r>
            <w:r w:rsidR="00184BBB" w:rsidRPr="00BA2F00">
              <w:rPr>
                <w:sz w:val="22"/>
              </w:rPr>
              <w:t xml:space="preserve"> je</w:t>
            </w:r>
            <w:r w:rsidR="008F0E39" w:rsidRPr="00BA2F00">
              <w:rPr>
                <w:sz w:val="22"/>
              </w:rPr>
              <w:t xml:space="preserve"> </w:t>
            </w:r>
            <w:r w:rsidR="00E31AE8" w:rsidRPr="00BA2F00">
              <w:rPr>
                <w:sz w:val="22"/>
              </w:rPr>
              <w:t>predstav</w:t>
            </w:r>
            <w:r w:rsidR="00184BBB" w:rsidRPr="00BA2F00">
              <w:rPr>
                <w:sz w:val="22"/>
              </w:rPr>
              <w:t>il</w:t>
            </w:r>
            <w:r w:rsidR="00E31AE8" w:rsidRPr="00BA2F00">
              <w:rPr>
                <w:sz w:val="22"/>
              </w:rPr>
              <w:t xml:space="preserve"> program</w:t>
            </w:r>
            <w:r w:rsidR="00184BBB" w:rsidRPr="00BA2F00">
              <w:rPr>
                <w:sz w:val="22"/>
              </w:rPr>
              <w:t>e</w:t>
            </w:r>
            <w:r w:rsidR="00E31AE8" w:rsidRPr="00BA2F00">
              <w:rPr>
                <w:sz w:val="22"/>
              </w:rPr>
              <w:t xml:space="preserve"> Jezikovnih šol za učenje slovenskega jezika. </w:t>
            </w:r>
          </w:p>
          <w:p w14:paraId="0088A724" w14:textId="4F7449AA" w:rsidR="00E31AE8" w:rsidRPr="00BA2F00" w:rsidRDefault="00E31AE8" w:rsidP="00E31AE8">
            <w:pPr>
              <w:autoSpaceDE w:val="0"/>
              <w:autoSpaceDN w:val="0"/>
              <w:adjustRightInd w:val="0"/>
              <w:spacing w:before="240" w:after="0"/>
              <w:rPr>
                <w:sz w:val="22"/>
              </w:rPr>
            </w:pPr>
            <w:r w:rsidRPr="00BA2F00">
              <w:rPr>
                <w:sz w:val="22"/>
              </w:rPr>
              <w:t xml:space="preserve">V začetku 2025 smo organizirali tudi </w:t>
            </w:r>
            <w:r w:rsidRPr="00BA2F00">
              <w:rPr>
                <w:b/>
                <w:bCs/>
                <w:sz w:val="22"/>
              </w:rPr>
              <w:t>slavnostni dogodek ob zaključku programskega obdobj</w:t>
            </w:r>
            <w:r w:rsidRPr="00BA2F00">
              <w:rPr>
                <w:sz w:val="22"/>
              </w:rPr>
              <w:t xml:space="preserve">a 2014 - 2020. </w:t>
            </w:r>
            <w:r w:rsidR="00DD4720" w:rsidRPr="00BA2F00">
              <w:rPr>
                <w:sz w:val="22"/>
              </w:rPr>
              <w:t>P</w:t>
            </w:r>
            <w:r w:rsidRPr="00BA2F00">
              <w:rPr>
                <w:sz w:val="22"/>
              </w:rPr>
              <w:t xml:space="preserve">ripravili </w:t>
            </w:r>
            <w:r w:rsidR="00DD4720" w:rsidRPr="00BA2F00">
              <w:rPr>
                <w:sz w:val="22"/>
              </w:rPr>
              <w:t xml:space="preserve">smo </w:t>
            </w:r>
            <w:r w:rsidRPr="00BA2F00">
              <w:rPr>
                <w:sz w:val="22"/>
              </w:rPr>
              <w:t>razstavo uspešnih sofinanciranih projektov iz AMIF in SNV</w:t>
            </w:r>
            <w:r w:rsidR="00DD4720" w:rsidRPr="00BA2F00">
              <w:rPr>
                <w:sz w:val="22"/>
              </w:rPr>
              <w:t xml:space="preserve"> – za prikaz</w:t>
            </w:r>
            <w:r w:rsidRPr="00BA2F00">
              <w:rPr>
                <w:sz w:val="22"/>
              </w:rPr>
              <w:t xml:space="preserve"> da </w:t>
            </w:r>
            <w:r w:rsidR="00DD4720" w:rsidRPr="00BA2F00">
              <w:rPr>
                <w:sz w:val="22"/>
              </w:rPr>
              <w:t>EU</w:t>
            </w:r>
            <w:r w:rsidRPr="00BA2F00">
              <w:rPr>
                <w:sz w:val="22"/>
              </w:rPr>
              <w:t xml:space="preserve"> sredst</w:t>
            </w:r>
            <w:r w:rsidR="00DD4720" w:rsidRPr="00BA2F00">
              <w:rPr>
                <w:sz w:val="22"/>
              </w:rPr>
              <w:t>va</w:t>
            </w:r>
            <w:r w:rsidRPr="00BA2F00">
              <w:rPr>
                <w:sz w:val="22"/>
              </w:rPr>
              <w:t xml:space="preserve"> v Sloveniji </w:t>
            </w:r>
            <w:r w:rsidR="00DD4720" w:rsidRPr="00BA2F00">
              <w:rPr>
                <w:sz w:val="22"/>
              </w:rPr>
              <w:t>omogočajo</w:t>
            </w:r>
            <w:r w:rsidRPr="00BA2F00">
              <w:rPr>
                <w:sz w:val="22"/>
              </w:rPr>
              <w:t xml:space="preserve"> boljše in kvalitetnejše </w:t>
            </w:r>
            <w:r w:rsidR="00A81EA1" w:rsidRPr="00BA2F00">
              <w:rPr>
                <w:sz w:val="22"/>
              </w:rPr>
              <w:t xml:space="preserve">življenje </w:t>
            </w:r>
            <w:r w:rsidRPr="00BA2F00">
              <w:rPr>
                <w:sz w:val="22"/>
              </w:rPr>
              <w:t xml:space="preserve">na številnih področjih. Želja je, da bi </w:t>
            </w:r>
            <w:r w:rsidR="00DD4720" w:rsidRPr="00BA2F00">
              <w:rPr>
                <w:sz w:val="22"/>
              </w:rPr>
              <w:t>šlo za</w:t>
            </w:r>
            <w:r w:rsidRPr="00BA2F00">
              <w:rPr>
                <w:sz w:val="22"/>
              </w:rPr>
              <w:t xml:space="preserve"> potujoč</w:t>
            </w:r>
            <w:r w:rsidR="00DD4720" w:rsidRPr="00BA2F00">
              <w:rPr>
                <w:sz w:val="22"/>
              </w:rPr>
              <w:t>o</w:t>
            </w:r>
            <w:r w:rsidRPr="00BA2F00">
              <w:rPr>
                <w:sz w:val="22"/>
              </w:rPr>
              <w:t xml:space="preserve"> razstav</w:t>
            </w:r>
            <w:r w:rsidR="00DD4720" w:rsidRPr="00BA2F00">
              <w:rPr>
                <w:sz w:val="22"/>
              </w:rPr>
              <w:t>o</w:t>
            </w:r>
            <w:r w:rsidRPr="00BA2F00">
              <w:rPr>
                <w:sz w:val="22"/>
              </w:rPr>
              <w:t>, ki bi se lahko na različnih lokacijah predstavljala.</w:t>
            </w:r>
          </w:p>
          <w:p w14:paraId="0A36951B" w14:textId="1E53CBDD" w:rsidR="00E31AE8" w:rsidRPr="00BA2F00" w:rsidRDefault="00E31AE8" w:rsidP="00E31AE8">
            <w:pPr>
              <w:autoSpaceDE w:val="0"/>
              <w:autoSpaceDN w:val="0"/>
              <w:adjustRightInd w:val="0"/>
              <w:spacing w:before="240" w:after="0"/>
              <w:rPr>
                <w:bCs/>
                <w:sz w:val="22"/>
              </w:rPr>
            </w:pPr>
            <w:r w:rsidRPr="00BA2F00">
              <w:rPr>
                <w:sz w:val="22"/>
              </w:rPr>
              <w:t>Gre za izjemno prodorne in obiskane dogodke, zato bomo s tem nadaljevali ali jih celo razširil</w:t>
            </w:r>
            <w:r w:rsidR="00243933" w:rsidRPr="00BA2F00">
              <w:rPr>
                <w:sz w:val="22"/>
              </w:rPr>
              <w:t>i z</w:t>
            </w:r>
            <w:r w:rsidRPr="00BA2F00">
              <w:rPr>
                <w:bCs/>
                <w:sz w:val="22"/>
              </w:rPr>
              <w:t xml:space="preserve"> nagrad</w:t>
            </w:r>
            <w:r w:rsidR="00243933" w:rsidRPr="00BA2F00">
              <w:rPr>
                <w:bCs/>
                <w:sz w:val="22"/>
              </w:rPr>
              <w:t>ami</w:t>
            </w:r>
            <w:r w:rsidRPr="00BA2F00">
              <w:rPr>
                <w:bCs/>
                <w:sz w:val="22"/>
              </w:rPr>
              <w:t xml:space="preserve"> za tiste, ki glasujejo, s ciljem večje angažiranosti in vidnosti.</w:t>
            </w:r>
          </w:p>
          <w:p w14:paraId="6C52B9EB" w14:textId="77777777" w:rsidR="00C133F5" w:rsidRPr="00BA2F00" w:rsidRDefault="00C133F5" w:rsidP="00E31AE8">
            <w:pPr>
              <w:autoSpaceDE w:val="0"/>
              <w:autoSpaceDN w:val="0"/>
              <w:adjustRightInd w:val="0"/>
              <w:spacing w:before="240" w:after="0"/>
              <w:rPr>
                <w:bCs/>
                <w:sz w:val="22"/>
              </w:rPr>
            </w:pPr>
          </w:p>
          <w:p w14:paraId="6B02D5E8" w14:textId="776B73D8" w:rsidR="00E31AE8" w:rsidRPr="00BA2F00" w:rsidRDefault="00E31AE8" w:rsidP="00E31AE8">
            <w:pPr>
              <w:autoSpaceDE w:val="0"/>
              <w:autoSpaceDN w:val="0"/>
              <w:adjustRightInd w:val="0"/>
              <w:spacing w:before="0" w:after="0"/>
              <w:rPr>
                <w:noProof/>
                <w:sz w:val="22"/>
              </w:rPr>
            </w:pPr>
            <w:r w:rsidRPr="00BA2F00">
              <w:rPr>
                <w:noProof/>
                <w:sz w:val="22"/>
              </w:rPr>
              <w:t>OU zagotovlja, da so vsebine v zvezi s sklad</w:t>
            </w:r>
            <w:r w:rsidR="0074587D" w:rsidRPr="00BA2F00">
              <w:rPr>
                <w:noProof/>
                <w:sz w:val="22"/>
              </w:rPr>
              <w:t xml:space="preserve">om </w:t>
            </w:r>
            <w:r w:rsidRPr="00BA2F00">
              <w:rPr>
                <w:noProof/>
                <w:sz w:val="22"/>
              </w:rPr>
              <w:t>AMIF</w:t>
            </w:r>
            <w:r w:rsidR="00055805" w:rsidRPr="00BA2F00">
              <w:rPr>
                <w:noProof/>
                <w:sz w:val="22"/>
              </w:rPr>
              <w:t xml:space="preserve"> </w:t>
            </w:r>
            <w:r w:rsidRPr="00BA2F00">
              <w:rPr>
                <w:noProof/>
                <w:sz w:val="22"/>
              </w:rPr>
              <w:t xml:space="preserve">objavljene in redno posodabljane na enotnem spletnem portalu. Ogledi </w:t>
            </w:r>
            <w:r w:rsidR="00055805" w:rsidRPr="00BA2F00">
              <w:rPr>
                <w:sz w:val="22"/>
              </w:rPr>
              <w:t xml:space="preserve">1.606 obiskov </w:t>
            </w:r>
            <w:r w:rsidRPr="00BA2F00">
              <w:rPr>
                <w:sz w:val="22"/>
              </w:rPr>
              <w:t>so</w:t>
            </w:r>
            <w:r w:rsidR="00055805" w:rsidRPr="00BA2F00">
              <w:rPr>
                <w:sz w:val="22"/>
              </w:rPr>
              <w:t xml:space="preserve">, </w:t>
            </w:r>
            <w:r w:rsidRPr="00BA2F00">
              <w:rPr>
                <w:sz w:val="22"/>
              </w:rPr>
              <w:t xml:space="preserve">v primerjavi s preteklim obdobjem poročanja, </w:t>
            </w:r>
            <w:r w:rsidR="00055805" w:rsidRPr="00BA2F00">
              <w:rPr>
                <w:sz w:val="22"/>
              </w:rPr>
              <w:t>višji, kot tu</w:t>
            </w:r>
            <w:r w:rsidR="00C133F5" w:rsidRPr="00BA2F00">
              <w:rPr>
                <w:sz w:val="22"/>
              </w:rPr>
              <w:t>di</w:t>
            </w:r>
            <w:r w:rsidR="00055805" w:rsidRPr="00BA2F00">
              <w:rPr>
                <w:sz w:val="22"/>
              </w:rPr>
              <w:t xml:space="preserve"> </w:t>
            </w:r>
            <w:r w:rsidRPr="00BA2F00">
              <w:rPr>
                <w:sz w:val="22"/>
              </w:rPr>
              <w:t xml:space="preserve">dejavnosti (npr. branje, klik, prenos dokumenta) </w:t>
            </w:r>
            <w:r w:rsidR="0074587D" w:rsidRPr="00BA2F00">
              <w:rPr>
                <w:sz w:val="22"/>
              </w:rPr>
              <w:t>-</w:t>
            </w:r>
            <w:r w:rsidRPr="00BA2F00">
              <w:rPr>
                <w:sz w:val="22"/>
              </w:rPr>
              <w:t xml:space="preserve"> AMIF 3.369</w:t>
            </w:r>
            <w:r w:rsidR="0074587D" w:rsidRPr="00BA2F00">
              <w:rPr>
                <w:sz w:val="22"/>
              </w:rPr>
              <w:t xml:space="preserve"> </w:t>
            </w:r>
            <w:r w:rsidRPr="00BA2F00">
              <w:rPr>
                <w:sz w:val="22"/>
              </w:rPr>
              <w:t xml:space="preserve">– največ je aktivnosti na podstraneh z navodili, sledijo programski dokumenti, akcijski načrti ipd. OU </w:t>
            </w:r>
            <w:r w:rsidR="00055805" w:rsidRPr="00BA2F00">
              <w:rPr>
                <w:sz w:val="22"/>
              </w:rPr>
              <w:t>se bo</w:t>
            </w:r>
            <w:r w:rsidRPr="00BA2F00">
              <w:rPr>
                <w:sz w:val="22"/>
              </w:rPr>
              <w:t xml:space="preserve"> vključil v </w:t>
            </w:r>
            <w:r w:rsidR="00055805" w:rsidRPr="00BA2F00">
              <w:rPr>
                <w:sz w:val="22"/>
              </w:rPr>
              <w:t xml:space="preserve">dodajanje </w:t>
            </w:r>
            <w:r w:rsidRPr="00BA2F00">
              <w:rPr>
                <w:sz w:val="22"/>
              </w:rPr>
              <w:t>dobrih zgodb in opise operacij. Dodatnih aktivnosti za povečanje obiska spletne strani ne načrtujemo.</w:t>
            </w:r>
          </w:p>
          <w:p w14:paraId="66D5041A" w14:textId="77777777" w:rsidR="00E31AE8" w:rsidRPr="00BA2F00" w:rsidRDefault="00E31AE8" w:rsidP="00E31AE8">
            <w:pPr>
              <w:autoSpaceDE w:val="0"/>
              <w:autoSpaceDN w:val="0"/>
              <w:adjustRightInd w:val="0"/>
              <w:spacing w:before="0" w:after="0"/>
              <w:rPr>
                <w:sz w:val="22"/>
              </w:rPr>
            </w:pPr>
          </w:p>
          <w:p w14:paraId="150B4160" w14:textId="6D49B157" w:rsidR="00E31AE8" w:rsidRPr="00BA2F00" w:rsidRDefault="00E31AE8" w:rsidP="00E31AE8">
            <w:pPr>
              <w:tabs>
                <w:tab w:val="left" w:pos="4252"/>
              </w:tabs>
              <w:autoSpaceDE w:val="0"/>
              <w:autoSpaceDN w:val="0"/>
              <w:adjustRightInd w:val="0"/>
              <w:spacing w:before="0" w:after="0"/>
              <w:rPr>
                <w:sz w:val="22"/>
              </w:rPr>
            </w:pPr>
            <w:r w:rsidRPr="00BA2F00">
              <w:rPr>
                <w:sz w:val="22"/>
              </w:rPr>
              <w:t>Aktivnostih za povečanje prepoznavnosti vsebin in operacij, (so)financiranih iz program</w:t>
            </w:r>
            <w:r w:rsidR="0074587D" w:rsidRPr="00BA2F00">
              <w:rPr>
                <w:sz w:val="22"/>
              </w:rPr>
              <w:t>a</w:t>
            </w:r>
            <w:r w:rsidRPr="00BA2F00">
              <w:rPr>
                <w:sz w:val="22"/>
              </w:rPr>
              <w:t xml:space="preserve"> AMIF so potekale na Intranetu MNZ in družbenih omrežjih MNZ (FB in X), Policijskem FB, evropska sredstva FB, evropska sredstva Linkedin. Prav tako spodbujamo upravičence za objave na njihovih spletnih straneh in družbenih omrežjih za povečanje vidno</w:t>
            </w:r>
            <w:r w:rsidR="00A81EA1" w:rsidRPr="00BA2F00">
              <w:rPr>
                <w:sz w:val="22"/>
              </w:rPr>
              <w:t>sti</w:t>
            </w:r>
            <w:r w:rsidRPr="00BA2F00">
              <w:rPr>
                <w:sz w:val="22"/>
              </w:rPr>
              <w:t xml:space="preserve"> EU (so)financiranja iz program</w:t>
            </w:r>
            <w:r w:rsidR="0074587D" w:rsidRPr="00BA2F00">
              <w:rPr>
                <w:sz w:val="22"/>
              </w:rPr>
              <w:t>a</w:t>
            </w:r>
            <w:r w:rsidRPr="00BA2F00">
              <w:rPr>
                <w:sz w:val="22"/>
              </w:rPr>
              <w:t xml:space="preserve"> AMIF</w:t>
            </w:r>
            <w:r w:rsidR="0074587D" w:rsidRPr="00BA2F00">
              <w:rPr>
                <w:sz w:val="22"/>
              </w:rPr>
              <w:t xml:space="preserve">. </w:t>
            </w:r>
            <w:r w:rsidRPr="00BA2F00">
              <w:rPr>
                <w:sz w:val="22"/>
              </w:rPr>
              <w:t>Še vedno spodbujamo uporabo ključnikov, zaradi lažjega sledenje objavam.</w:t>
            </w:r>
          </w:p>
          <w:p w14:paraId="6BD7B0E0" w14:textId="77777777" w:rsidR="00E31AE8" w:rsidRPr="00BA2F00" w:rsidRDefault="00E31AE8" w:rsidP="00E31AE8">
            <w:pPr>
              <w:tabs>
                <w:tab w:val="left" w:pos="4252"/>
              </w:tabs>
              <w:autoSpaceDE w:val="0"/>
              <w:autoSpaceDN w:val="0"/>
              <w:adjustRightInd w:val="0"/>
              <w:spacing w:before="0" w:after="0"/>
              <w:rPr>
                <w:sz w:val="22"/>
              </w:rPr>
            </w:pPr>
          </w:p>
          <w:p w14:paraId="4CA979A2" w14:textId="18981B0E" w:rsidR="00E31AE8" w:rsidRPr="00BA2F00" w:rsidRDefault="00E31AE8" w:rsidP="00E31AE8">
            <w:pPr>
              <w:tabs>
                <w:tab w:val="left" w:pos="4252"/>
              </w:tabs>
              <w:autoSpaceDE w:val="0"/>
              <w:autoSpaceDN w:val="0"/>
              <w:adjustRightInd w:val="0"/>
              <w:spacing w:before="0" w:after="0"/>
              <w:rPr>
                <w:sz w:val="22"/>
              </w:rPr>
            </w:pPr>
            <w:r w:rsidRPr="00BA2F00">
              <w:rPr>
                <w:sz w:val="22"/>
                <w:u w:val="single"/>
              </w:rPr>
              <w:t>Na FB MNZ</w:t>
            </w:r>
            <w:r w:rsidRPr="00BA2F00">
              <w:rPr>
                <w:sz w:val="22"/>
              </w:rPr>
              <w:t xml:space="preserve"> je bilo v tem obdobju objavljenih 26 objav</w:t>
            </w:r>
            <w:r w:rsidR="00881400" w:rsidRPr="00BA2F00">
              <w:rPr>
                <w:sz w:val="22"/>
              </w:rPr>
              <w:t xml:space="preserve"> za sklade s področja notranjih zadev</w:t>
            </w:r>
            <w:r w:rsidRPr="00BA2F00">
              <w:rPr>
                <w:sz w:val="22"/>
              </w:rPr>
              <w:t xml:space="preserve"> (22 slikovnih in štiri objave, ki vsebujejo videoposnetke). Skupno si je objave ogledalo 21.588 uporabnikov. Od teh je bil največji doseg pri objavah v temi pobude EU z dosegom 8.099 uporabnikov. Objava, ki je dosegla najboljšo gledanost, je bila objava z naslovom »</w:t>
            </w:r>
            <w:r w:rsidR="00881400" w:rsidRPr="00BA2F00">
              <w:rPr>
                <w:sz w:val="22"/>
              </w:rPr>
              <w:t>E</w:t>
            </w:r>
            <w:r w:rsidRPr="00BA2F00">
              <w:rPr>
                <w:sz w:val="22"/>
              </w:rPr>
              <w:t>vropski</w:t>
            </w:r>
            <w:r w:rsidR="00881400" w:rsidRPr="00BA2F00">
              <w:rPr>
                <w:sz w:val="22"/>
              </w:rPr>
              <w:t xml:space="preserve"> dan</w:t>
            </w:r>
            <w:r w:rsidR="00C133F5" w:rsidRPr="00BA2F00">
              <w:rPr>
                <w:sz w:val="22"/>
              </w:rPr>
              <w:t xml:space="preserve"> jezikov</w:t>
            </w:r>
            <w:r w:rsidRPr="00BA2F00">
              <w:rPr>
                <w:sz w:val="22"/>
              </w:rPr>
              <w:t>« (</w:t>
            </w:r>
            <w:r w:rsidR="00881400" w:rsidRPr="00BA2F00">
              <w:rPr>
                <w:sz w:val="22"/>
              </w:rPr>
              <w:t>26</w:t>
            </w:r>
            <w:r w:rsidRPr="00BA2F00">
              <w:rPr>
                <w:sz w:val="22"/>
              </w:rPr>
              <w:t xml:space="preserve">. </w:t>
            </w:r>
            <w:r w:rsidR="00881400" w:rsidRPr="00BA2F00">
              <w:rPr>
                <w:sz w:val="22"/>
              </w:rPr>
              <w:t>9</w:t>
            </w:r>
            <w:r w:rsidRPr="00BA2F00">
              <w:rPr>
                <w:sz w:val="22"/>
              </w:rPr>
              <w:t>. 2024)</w:t>
            </w:r>
            <w:r w:rsidR="00C133F5" w:rsidRPr="00BA2F00">
              <w:rPr>
                <w:sz w:val="22"/>
              </w:rPr>
              <w:t xml:space="preserve"> - </w:t>
            </w:r>
            <w:r w:rsidR="00881400" w:rsidRPr="00BA2F00">
              <w:rPr>
                <w:sz w:val="22"/>
              </w:rPr>
              <w:t>2.788</w:t>
            </w:r>
            <w:r w:rsidRPr="00BA2F00">
              <w:rPr>
                <w:sz w:val="22"/>
              </w:rPr>
              <w:t xml:space="preserve"> uporabnikov.</w:t>
            </w:r>
          </w:p>
          <w:p w14:paraId="1CAC2A39" w14:textId="77777777" w:rsidR="00E31AE8" w:rsidRPr="00BA2F00" w:rsidRDefault="00E31AE8" w:rsidP="00E31AE8">
            <w:pPr>
              <w:tabs>
                <w:tab w:val="left" w:pos="4252"/>
              </w:tabs>
              <w:autoSpaceDE w:val="0"/>
              <w:autoSpaceDN w:val="0"/>
              <w:adjustRightInd w:val="0"/>
              <w:spacing w:before="0" w:after="0"/>
              <w:rPr>
                <w:sz w:val="22"/>
              </w:rPr>
            </w:pPr>
          </w:p>
          <w:p w14:paraId="13DC958A" w14:textId="1946CE3C" w:rsidR="00E31AE8" w:rsidRPr="00BA2F00" w:rsidRDefault="00E31AE8" w:rsidP="00E31AE8">
            <w:pPr>
              <w:tabs>
                <w:tab w:val="left" w:pos="4252"/>
              </w:tabs>
              <w:autoSpaceDE w:val="0"/>
              <w:autoSpaceDN w:val="0"/>
              <w:adjustRightInd w:val="0"/>
              <w:spacing w:before="0" w:after="0"/>
              <w:rPr>
                <w:sz w:val="22"/>
              </w:rPr>
            </w:pPr>
            <w:r w:rsidRPr="00BA2F00">
              <w:rPr>
                <w:sz w:val="22"/>
                <w:u w:val="single"/>
              </w:rPr>
              <w:t>Na FB Evropska sredstva</w:t>
            </w:r>
            <w:r w:rsidRPr="00BA2F00">
              <w:rPr>
                <w:sz w:val="22"/>
              </w:rPr>
              <w:t xml:space="preserve"> je bilo narejenih 31 objav (video in slike), od tega 3 z videoposnetki za dobre EU zgodbe  - skupno si jih je ogledalo 521.385 uporabnikov. </w:t>
            </w:r>
          </w:p>
          <w:p w14:paraId="106197E4" w14:textId="77777777" w:rsidR="00E31AE8" w:rsidRPr="00BA2F00" w:rsidRDefault="00E31AE8" w:rsidP="00E31AE8">
            <w:pPr>
              <w:tabs>
                <w:tab w:val="left" w:pos="4252"/>
              </w:tabs>
              <w:autoSpaceDE w:val="0"/>
              <w:autoSpaceDN w:val="0"/>
              <w:adjustRightInd w:val="0"/>
              <w:spacing w:before="0" w:after="0"/>
              <w:rPr>
                <w:sz w:val="22"/>
              </w:rPr>
            </w:pPr>
          </w:p>
          <w:p w14:paraId="0B0CC79E" w14:textId="77777777" w:rsidR="00E31AE8" w:rsidRPr="00BA2F00" w:rsidRDefault="00E31AE8" w:rsidP="00E31AE8">
            <w:pPr>
              <w:tabs>
                <w:tab w:val="left" w:pos="4252"/>
              </w:tabs>
              <w:autoSpaceDE w:val="0"/>
              <w:autoSpaceDN w:val="0"/>
              <w:adjustRightInd w:val="0"/>
              <w:spacing w:before="0" w:after="0"/>
              <w:rPr>
                <w:sz w:val="22"/>
              </w:rPr>
            </w:pPr>
            <w:r w:rsidRPr="00BA2F00">
              <w:rPr>
                <w:sz w:val="22"/>
              </w:rPr>
              <w:t xml:space="preserve">Na omrežju </w:t>
            </w:r>
            <w:r w:rsidRPr="00BA2F00">
              <w:rPr>
                <w:sz w:val="22"/>
                <w:u w:val="single"/>
              </w:rPr>
              <w:t>X MNZ</w:t>
            </w:r>
            <w:r w:rsidRPr="00BA2F00">
              <w:rPr>
                <w:sz w:val="22"/>
              </w:rPr>
              <w:t xml:space="preserve"> je bilo v obdobju narejenih 6 slikovnih objav, ki si jih je skupno ogledalo 4.913 uporabnikov. Od teh je bil največji doseg pri temi mednarodni dnevi z dosegom 2.381 uporabnikov. Objava, ki je dosegla najboljšo gledanost, je bila objava z naslovom »Jutri je evropski dan boja proti trgovini z ljudmi« (17. 10. 2024), in sicer 1.503 uporabnikov.</w:t>
            </w:r>
          </w:p>
          <w:p w14:paraId="0452BE4F" w14:textId="77777777" w:rsidR="00E31AE8" w:rsidRPr="00BA2F00" w:rsidRDefault="00E31AE8" w:rsidP="00E31AE8">
            <w:pPr>
              <w:tabs>
                <w:tab w:val="left" w:pos="4252"/>
              </w:tabs>
              <w:autoSpaceDE w:val="0"/>
              <w:autoSpaceDN w:val="0"/>
              <w:adjustRightInd w:val="0"/>
              <w:spacing w:before="0" w:after="0"/>
              <w:rPr>
                <w:sz w:val="22"/>
              </w:rPr>
            </w:pPr>
          </w:p>
          <w:p w14:paraId="755BA23B" w14:textId="43BE1863" w:rsidR="00E31AE8" w:rsidRPr="00BA2F00" w:rsidRDefault="00E31AE8" w:rsidP="00E31AE8">
            <w:pPr>
              <w:tabs>
                <w:tab w:val="left" w:pos="4252"/>
              </w:tabs>
              <w:autoSpaceDE w:val="0"/>
              <w:autoSpaceDN w:val="0"/>
              <w:adjustRightInd w:val="0"/>
              <w:spacing w:before="0" w:after="0"/>
              <w:rPr>
                <w:sz w:val="22"/>
              </w:rPr>
            </w:pPr>
            <w:r w:rsidRPr="00BA2F00">
              <w:rPr>
                <w:sz w:val="22"/>
              </w:rPr>
              <w:t>Poleg tega smo prisotn</w:t>
            </w:r>
            <w:r w:rsidR="00FB5E69" w:rsidRPr="00BA2F00">
              <w:rPr>
                <w:sz w:val="22"/>
              </w:rPr>
              <w:t>i</w:t>
            </w:r>
            <w:r w:rsidRPr="00BA2F00">
              <w:rPr>
                <w:sz w:val="22"/>
              </w:rPr>
              <w:t xml:space="preserve"> v mesečniku Vizija kohezija (cca 4000 naročnikov), kjer so objavljene najave za javne razpise. Dogovarjamo se, da bi v prihodnosti bil določen prostor namenjen samo aktivnostim naših skladov, kjer bi delili tudi druge vsebine. </w:t>
            </w:r>
          </w:p>
          <w:bookmarkEnd w:id="0"/>
          <w:p w14:paraId="24D3B57F" w14:textId="77777777" w:rsidR="003F0966" w:rsidRPr="00BA2F00" w:rsidRDefault="003F0966" w:rsidP="00E31AE8">
            <w:pPr>
              <w:tabs>
                <w:tab w:val="left" w:pos="4252"/>
              </w:tabs>
              <w:autoSpaceDE w:val="0"/>
              <w:autoSpaceDN w:val="0"/>
              <w:adjustRightInd w:val="0"/>
              <w:spacing w:before="0" w:after="0"/>
              <w:rPr>
                <w:sz w:val="22"/>
                <w:highlight w:val="yellow"/>
              </w:rPr>
            </w:pPr>
          </w:p>
        </w:tc>
      </w:tr>
    </w:tbl>
    <w:p w14:paraId="700D64C3" w14:textId="77777777" w:rsidR="0087657F" w:rsidRPr="00BA2F00" w:rsidRDefault="00C71B80" w:rsidP="001E3DE5">
      <w:pPr>
        <w:pStyle w:val="Institutionquisigne"/>
        <w:spacing w:before="240" w:after="120"/>
        <w:rPr>
          <w:i w:val="0"/>
          <w:noProof/>
          <w:sz w:val="22"/>
        </w:rPr>
      </w:pPr>
      <w:r w:rsidRPr="00BA2F00">
        <w:rPr>
          <w:i w:val="0"/>
          <w:noProof/>
          <w:sz w:val="22"/>
        </w:rPr>
        <w:t>Navedite povezavo do spletnega portala iz člena 46, točka (b), Uredbe (EU) 2021/1060 in, če se razlikuje od spletnega portala, do spletne strani iz člena 49(1) navedene uredbe.</w:t>
      </w:r>
    </w:p>
    <w:tbl>
      <w:tblPr>
        <w:tblStyle w:val="Tabelamrea"/>
        <w:tblW w:w="0" w:type="auto"/>
        <w:tblLook w:val="04A0" w:firstRow="1" w:lastRow="0" w:firstColumn="1" w:lastColumn="0" w:noHBand="0" w:noVBand="1"/>
      </w:tblPr>
      <w:tblGrid>
        <w:gridCol w:w="9063"/>
      </w:tblGrid>
      <w:tr w:rsidR="00BA2F00" w:rsidRPr="00BA2F00" w14:paraId="3410B4C0" w14:textId="77777777" w:rsidTr="00E45665">
        <w:tc>
          <w:tcPr>
            <w:tcW w:w="9289" w:type="dxa"/>
          </w:tcPr>
          <w:p w14:paraId="4CDF7823" w14:textId="77777777" w:rsidR="0087657F" w:rsidRPr="00BA2F00" w:rsidRDefault="00D562DD" w:rsidP="001E3DE5">
            <w:pPr>
              <w:pStyle w:val="Personnequisigne"/>
              <w:jc w:val="both"/>
              <w:rPr>
                <w:i w:val="0"/>
                <w:noProof/>
                <w:sz w:val="22"/>
              </w:rPr>
            </w:pPr>
            <w:r w:rsidRPr="00BA2F00">
              <w:rPr>
                <w:i w:val="0"/>
                <w:noProof/>
                <w:sz w:val="22"/>
              </w:rPr>
              <w:t>https://evropskasredstva.si</w:t>
            </w:r>
          </w:p>
        </w:tc>
      </w:tr>
    </w:tbl>
    <w:p w14:paraId="7FF30203" w14:textId="77777777" w:rsidR="000133CF" w:rsidRPr="00BA2F00" w:rsidRDefault="00CF7D3B" w:rsidP="001E3DE5">
      <w:pPr>
        <w:pStyle w:val="ManualHeading1"/>
        <w:rPr>
          <w:noProof/>
          <w:sz w:val="22"/>
        </w:rPr>
      </w:pPr>
      <w:r w:rsidRPr="00BA2F00">
        <w:rPr>
          <w:sz w:val="22"/>
        </w:rPr>
        <w:t>5.</w:t>
      </w:r>
      <w:r w:rsidRPr="00BA2F00">
        <w:rPr>
          <w:sz w:val="22"/>
        </w:rPr>
        <w:tab/>
      </w:r>
      <w:r w:rsidR="0087657F" w:rsidRPr="00BA2F00">
        <w:rPr>
          <w:noProof/>
          <w:sz w:val="22"/>
        </w:rPr>
        <w:t xml:space="preserve">Omogočitveni pogoji in horizontalna načela </w:t>
      </w:r>
    </w:p>
    <w:p w14:paraId="28A12C3F" w14:textId="77777777" w:rsidR="0087657F" w:rsidRPr="00BA2F00" w:rsidRDefault="00CF7D3B" w:rsidP="001E3DE5">
      <w:pPr>
        <w:pStyle w:val="ManualHeading2"/>
        <w:rPr>
          <w:noProof/>
          <w:sz w:val="22"/>
        </w:rPr>
      </w:pPr>
      <w:r w:rsidRPr="00BA2F00">
        <w:rPr>
          <w:sz w:val="22"/>
        </w:rPr>
        <w:t>5.1.</w:t>
      </w:r>
      <w:r w:rsidRPr="00BA2F00">
        <w:rPr>
          <w:sz w:val="22"/>
        </w:rPr>
        <w:tab/>
      </w:r>
      <w:r w:rsidR="0087657F" w:rsidRPr="00BA2F00">
        <w:rPr>
          <w:noProof/>
          <w:sz w:val="22"/>
        </w:rPr>
        <w:t>Omogočitveni pogoji – člen 35(2), točka (f), Uredbe (EU) 2021/1147</w:t>
      </w:r>
    </w:p>
    <w:p w14:paraId="4A2B29CE" w14:textId="77777777" w:rsidR="0087657F" w:rsidRPr="00BA2F00" w:rsidRDefault="00053829" w:rsidP="001E3DE5">
      <w:pPr>
        <w:pStyle w:val="Titrearticle"/>
        <w:spacing w:before="240"/>
        <w:jc w:val="both"/>
        <w:rPr>
          <w:i w:val="0"/>
          <w:noProof/>
          <w:sz w:val="22"/>
        </w:rPr>
      </w:pPr>
      <w:r w:rsidRPr="00BA2F00">
        <w:rPr>
          <w:i w:val="0"/>
          <w:noProof/>
          <w:sz w:val="22"/>
        </w:rPr>
        <w:t xml:space="preserve">Opišite, kako je bilo zagotovljeno, da so bili veljavni omogočitveni pogoji iz Priloge III k Uredbi (EU) 2021/1060 izpolnjeni in so se uporabljali v celotnem obračunskem letu, zlasti kar zadeva skladnost z Listino Evropske unije o temeljnih pravicah. Če je ustrezno, opišite kakršno koli spremembo, ki je vplivala na način, kako so bili omogočitveni pogoji izpolnjeni, kot je določeno v členu 15(6) Uredbe (EU) 2021/1060. </w:t>
      </w:r>
    </w:p>
    <w:tbl>
      <w:tblPr>
        <w:tblStyle w:val="Tabelamrea"/>
        <w:tblW w:w="0" w:type="auto"/>
        <w:tblLook w:val="04A0" w:firstRow="1" w:lastRow="0" w:firstColumn="1" w:lastColumn="0" w:noHBand="0" w:noVBand="1"/>
      </w:tblPr>
      <w:tblGrid>
        <w:gridCol w:w="9063"/>
      </w:tblGrid>
      <w:tr w:rsidR="00BA2F00" w:rsidRPr="00BA2F00" w14:paraId="5FDE8F34" w14:textId="77777777" w:rsidTr="00E45665">
        <w:tc>
          <w:tcPr>
            <w:tcW w:w="9289" w:type="dxa"/>
          </w:tcPr>
          <w:p w14:paraId="59C1902D" w14:textId="118C7AA5" w:rsidR="00E31AE8" w:rsidRPr="00BA2F00" w:rsidRDefault="00E31AE8" w:rsidP="00E31AE8">
            <w:pPr>
              <w:spacing w:before="0" w:after="160" w:line="259" w:lineRule="auto"/>
              <w:rPr>
                <w:sz w:val="22"/>
              </w:rPr>
            </w:pPr>
            <w:r w:rsidRPr="00BA2F00">
              <w:rPr>
                <w:sz w:val="22"/>
              </w:rPr>
              <w:t>Ključne v obdobju poročanja so bile aktivnosti</w:t>
            </w:r>
            <w:r w:rsidR="000321D0" w:rsidRPr="00BA2F00">
              <w:rPr>
                <w:sz w:val="22"/>
              </w:rPr>
              <w:t>,</w:t>
            </w:r>
            <w:r w:rsidRPr="00BA2F00">
              <w:rPr>
                <w:sz w:val="22"/>
              </w:rPr>
              <w:t xml:space="preserve"> usmerjene v preverjanje implementacije omogočitvenih pogojev na ravni posameznih operacij. S tem namenom smo  preverjanje skladnosti z Listino EU o temeljnih pravicah ter Konvencijo o pravicah invalidov, vključili v vsakokratno kontrolo prijave operacij in kontrolo zahtevkov za povračilo oz. izplačilo. Na podlagi pregledov nismo zaznali, da bi bile aktivnosti kontroliranih operacij neskladne z Listino in/ali Konvencijo.</w:t>
            </w:r>
          </w:p>
          <w:p w14:paraId="202B2E6C" w14:textId="6D06D3F6" w:rsidR="00E31AE8" w:rsidRPr="00BA2F00" w:rsidRDefault="00E31AE8" w:rsidP="00E31AE8">
            <w:pPr>
              <w:spacing w:before="0" w:after="160" w:line="259" w:lineRule="auto"/>
              <w:rPr>
                <w:sz w:val="22"/>
              </w:rPr>
            </w:pPr>
            <w:r w:rsidRPr="00BA2F00">
              <w:rPr>
                <w:sz w:val="22"/>
              </w:rPr>
              <w:t>Nadaljujemo z delovanjem v posvetovalnem telesu ministrstva za integracijo načela enakosti spolov. To nam omogoča, da na področju enakosti spolov aktivno sodelujemo pri oblikovanju politik in izvajanju aktivnosti znotraj ministrstva</w:t>
            </w:r>
            <w:r w:rsidR="00CB7106" w:rsidRPr="00BA2F00">
              <w:rPr>
                <w:sz w:val="22"/>
              </w:rPr>
              <w:t>,</w:t>
            </w:r>
            <w:r w:rsidRPr="00BA2F00">
              <w:rPr>
                <w:sz w:val="22"/>
              </w:rPr>
              <w:t xml:space="preserve"> kot tudi</w:t>
            </w:r>
            <w:r w:rsidR="00CB7106" w:rsidRPr="00BA2F00">
              <w:rPr>
                <w:sz w:val="22"/>
              </w:rPr>
              <w:t>,</w:t>
            </w:r>
            <w:r w:rsidRPr="00BA2F00">
              <w:rPr>
                <w:sz w:val="22"/>
              </w:rPr>
              <w:t xml:space="preserve"> da imamo dostop do dodatnih izobraževalnih vsebin.</w:t>
            </w:r>
          </w:p>
          <w:p w14:paraId="33A0AB85" w14:textId="77777777" w:rsidR="00E31AE8" w:rsidRPr="00BA2F00" w:rsidRDefault="00E31AE8" w:rsidP="00E31AE8">
            <w:pPr>
              <w:spacing w:before="0" w:after="160" w:line="259" w:lineRule="auto"/>
              <w:rPr>
                <w:sz w:val="22"/>
              </w:rPr>
            </w:pPr>
            <w:r w:rsidRPr="00BA2F00">
              <w:rPr>
                <w:sz w:val="22"/>
              </w:rPr>
              <w:t>Za odbor za spremljanje smo pripravili letno poročilo in člane odbora seznanili z izvedenimi aktivnostmi.</w:t>
            </w:r>
          </w:p>
          <w:p w14:paraId="35E0CF54" w14:textId="77777777" w:rsidR="00E31AE8" w:rsidRPr="00BA2F00" w:rsidRDefault="00E31AE8" w:rsidP="00E31AE8">
            <w:pPr>
              <w:spacing w:before="0" w:after="160" w:line="259" w:lineRule="auto"/>
              <w:rPr>
                <w:sz w:val="22"/>
              </w:rPr>
            </w:pPr>
            <w:r w:rsidRPr="00BA2F00">
              <w:rPr>
                <w:sz w:val="22"/>
              </w:rPr>
              <w:t>Pri Varuhu človekovih pravic in Zagovorniku načela enakosti smo preverili ali sta v času od septembra 2024 do septembra 2025 prejela pobude, ki bi bile vsebinsko vezane na izvajanje programa SNV, programa AMIF in programa IUMV. Tovrstnih pobud nista prejela.</w:t>
            </w:r>
          </w:p>
          <w:p w14:paraId="3CDC05FD" w14:textId="0C7EA455" w:rsidR="005E28C6" w:rsidRPr="00BA2F00" w:rsidRDefault="00E31AE8" w:rsidP="00E31AE8">
            <w:pPr>
              <w:autoSpaceDE w:val="0"/>
              <w:autoSpaceDN w:val="0"/>
              <w:adjustRightInd w:val="0"/>
              <w:spacing w:before="0"/>
              <w:rPr>
                <w:sz w:val="22"/>
              </w:rPr>
            </w:pPr>
            <w:r w:rsidRPr="00BA2F00">
              <w:rPr>
                <w:sz w:val="22"/>
              </w:rPr>
              <w:t>V obračunskem obdobju nismo prejeli prijav ali vprašanj s strani upravičencev prav tako prijav ali vprašanj nismo prejeli preko prijavnega obrazca na spletnem mestu https://evropskasredstva.si/prijava-krsitev-3/ .</w:t>
            </w:r>
          </w:p>
        </w:tc>
      </w:tr>
    </w:tbl>
    <w:p w14:paraId="7828A4FD" w14:textId="77777777" w:rsidR="0087657F" w:rsidRPr="00BA2F00" w:rsidRDefault="00CF7D3B" w:rsidP="001E3DE5">
      <w:pPr>
        <w:pStyle w:val="ManualHeading2"/>
        <w:rPr>
          <w:noProof/>
          <w:sz w:val="22"/>
        </w:rPr>
      </w:pPr>
      <w:r w:rsidRPr="00BA2F00">
        <w:rPr>
          <w:sz w:val="22"/>
        </w:rPr>
        <w:t>5.2.</w:t>
      </w:r>
      <w:r w:rsidRPr="00BA2F00">
        <w:rPr>
          <w:sz w:val="22"/>
        </w:rPr>
        <w:tab/>
      </w:r>
      <w:r w:rsidR="0001528B" w:rsidRPr="00BA2F00">
        <w:rPr>
          <w:noProof/>
          <w:sz w:val="22"/>
        </w:rPr>
        <w:t xml:space="preserve">Skladnost s horizontalnimi načeli – člen 9 Uredbe (EU) 2021/1060 </w:t>
      </w:r>
    </w:p>
    <w:p w14:paraId="4A4E7BB7" w14:textId="77777777" w:rsidR="0087657F" w:rsidRPr="00BA2F00" w:rsidRDefault="00C71B80" w:rsidP="001E3DE5">
      <w:pPr>
        <w:pStyle w:val="Titrearticle"/>
        <w:spacing w:before="240"/>
        <w:jc w:val="both"/>
        <w:rPr>
          <w:i w:val="0"/>
          <w:noProof/>
          <w:sz w:val="22"/>
        </w:rPr>
      </w:pPr>
      <w:r w:rsidRPr="00BA2F00">
        <w:rPr>
          <w:i w:val="0"/>
          <w:noProof/>
          <w:sz w:val="22"/>
        </w:rPr>
        <w:t>Opišite, kako je bila med obračunskim letom zagotovljena skladnost s horizontalnimi načeli iz uredbe o skupnih določbah, zlasti kar zadeva enakost spolov, spodbujanje vključevanja vidika spola ter preprečevanje diskriminacije na podlagi spola, rase ali narodnosti, vere ali prepričanja, invalidnosti, starosti ali spolne usmerjenosti.</w:t>
      </w:r>
    </w:p>
    <w:tbl>
      <w:tblPr>
        <w:tblStyle w:val="Tabelamrea"/>
        <w:tblW w:w="0" w:type="auto"/>
        <w:tblLook w:val="04A0" w:firstRow="1" w:lastRow="0" w:firstColumn="1" w:lastColumn="0" w:noHBand="0" w:noVBand="1"/>
      </w:tblPr>
      <w:tblGrid>
        <w:gridCol w:w="9063"/>
      </w:tblGrid>
      <w:tr w:rsidR="00BA2F00" w:rsidRPr="00BA2F00" w14:paraId="5B328A9A" w14:textId="77777777" w:rsidTr="00E45665">
        <w:tc>
          <w:tcPr>
            <w:tcW w:w="9289" w:type="dxa"/>
          </w:tcPr>
          <w:p w14:paraId="20D812A9" w14:textId="77777777" w:rsidR="00E31AE8" w:rsidRPr="00BA2F00" w:rsidRDefault="00E31AE8" w:rsidP="00E31AE8">
            <w:pPr>
              <w:spacing w:before="0" w:after="160" w:line="259" w:lineRule="auto"/>
              <w:rPr>
                <w:sz w:val="22"/>
              </w:rPr>
            </w:pPr>
            <w:r w:rsidRPr="00BA2F00">
              <w:rPr>
                <w:sz w:val="22"/>
              </w:rPr>
              <w:t>Z namenom zagotavljanja skladnosti z horizontalnim načelom tekom celotnega cikla operacije izvajamo sledeče aktivnosti:</w:t>
            </w:r>
          </w:p>
          <w:p w14:paraId="1C509FDC" w14:textId="77777777" w:rsidR="00E31AE8" w:rsidRPr="00BA2F00" w:rsidRDefault="00E31AE8" w:rsidP="00931B9C">
            <w:pPr>
              <w:pStyle w:val="Odstavekseznama"/>
              <w:numPr>
                <w:ilvl w:val="0"/>
                <w:numId w:val="33"/>
              </w:numPr>
              <w:spacing w:before="0" w:after="160" w:line="259" w:lineRule="auto"/>
              <w:rPr>
                <w:sz w:val="22"/>
              </w:rPr>
            </w:pPr>
            <w:r w:rsidRPr="00BA2F00">
              <w:rPr>
                <w:sz w:val="22"/>
              </w:rPr>
              <w:t>Skladno z nacionalnimi pravili o upravičenosti za črpanje sredstev morajo upravičenci pred začetkom izvajanja posega, ki lahko pomembno vpliva na okolje, izvesti presojo vplivov na okolje in pridobiti okoljevarstveno soglasje. Za določene vrste posegov v okolje je namreč zaradi njihove velikosti, obsega, lokacije ali drugih značilnosti, ki lahko vplivajo na okolje, presoja vplivov na okolje obvezna. V teh primerih se že v predhodnem postopku ugotavlja, ali je za nameravani poseg potrebno izvesti presojo vplivov na okolje in pridobiti okoljevarstveno soglasje.</w:t>
            </w:r>
          </w:p>
          <w:p w14:paraId="5C1172D1" w14:textId="77777777" w:rsidR="00E31AE8" w:rsidRPr="00BA2F00" w:rsidRDefault="00E31AE8" w:rsidP="00931B9C">
            <w:pPr>
              <w:pStyle w:val="Odstavekseznama"/>
              <w:numPr>
                <w:ilvl w:val="0"/>
                <w:numId w:val="33"/>
              </w:numPr>
              <w:spacing w:before="0" w:after="160" w:line="259" w:lineRule="auto"/>
              <w:rPr>
                <w:sz w:val="22"/>
              </w:rPr>
            </w:pPr>
            <w:r w:rsidRPr="00BA2F00">
              <w:rPr>
                <w:sz w:val="22"/>
              </w:rPr>
              <w:t>Administrativna kontrola zahtevkov za povračilo oz. izplačilo sredstev zajema tudi preverko ali izvedene aktivnosti upoštevajo pravila glede enakih možnosti, nediskriminacije in dostopnosti za invalidne osebe in tudi ali je upravičenec pri izvedbi operacije pridobil vsa potrebna dovoljenja/mnenja/soglasja s področju varovanja okolja, ki so bila v fazi potrjevanja operacije zahtevana s strani pristojnih organizacij ali so zahtevana glede na postopke, ki jih je izvedel.</w:t>
            </w:r>
          </w:p>
          <w:p w14:paraId="187853C6" w14:textId="246EA919" w:rsidR="004B155D" w:rsidRPr="00BA2F00" w:rsidRDefault="00E31AE8" w:rsidP="00E31AE8">
            <w:pPr>
              <w:spacing w:before="0" w:after="160" w:line="259" w:lineRule="auto"/>
              <w:rPr>
                <w:sz w:val="22"/>
              </w:rPr>
            </w:pPr>
            <w:r w:rsidRPr="00BA2F00">
              <w:rPr>
                <w:sz w:val="22"/>
              </w:rPr>
              <w:t>Nadaljujemo z delovanjem v posvetovalnem telesu ministrstva za integracijo načela enakosti spolov. To nam omogoča, da na področju enakosti spolov aktivno sodelujemo pri oblikovanju politik in izvajanju aktivnosti znotraj ministrstva in da imamo dostop do dodatnih izobraževalnih vsebin.</w:t>
            </w:r>
          </w:p>
        </w:tc>
      </w:tr>
    </w:tbl>
    <w:p w14:paraId="3CFC0E36" w14:textId="77777777" w:rsidR="0087657F" w:rsidRPr="00BA2F00" w:rsidRDefault="00CF7D3B" w:rsidP="001E3DE5">
      <w:pPr>
        <w:pStyle w:val="ManualHeading1"/>
        <w:rPr>
          <w:noProof/>
          <w:sz w:val="22"/>
        </w:rPr>
      </w:pPr>
      <w:r w:rsidRPr="00BA2F00">
        <w:rPr>
          <w:sz w:val="22"/>
        </w:rPr>
        <w:t>6.</w:t>
      </w:r>
      <w:r w:rsidRPr="00BA2F00">
        <w:rPr>
          <w:sz w:val="22"/>
        </w:rPr>
        <w:tab/>
      </w:r>
      <w:r w:rsidR="0087657F" w:rsidRPr="00BA2F00">
        <w:rPr>
          <w:noProof/>
          <w:sz w:val="22"/>
        </w:rPr>
        <w:t>Projekti v tretjih državah ali v zvezi z njimi – člen 35(2), točka (i), Uredbe (EU) 2021/1147</w:t>
      </w:r>
    </w:p>
    <w:p w14:paraId="2CBA0669" w14:textId="77777777" w:rsidR="0087657F" w:rsidRPr="00BA2F00" w:rsidRDefault="00C71B80" w:rsidP="001E3DE5">
      <w:pPr>
        <w:pStyle w:val="Titrearticle"/>
        <w:spacing w:before="240"/>
        <w:jc w:val="both"/>
        <w:rPr>
          <w:i w:val="0"/>
          <w:noProof/>
          <w:sz w:val="22"/>
        </w:rPr>
      </w:pPr>
      <w:r w:rsidRPr="00BA2F00">
        <w:rPr>
          <w:i w:val="0"/>
          <w:noProof/>
          <w:sz w:val="22"/>
        </w:rPr>
        <w:t xml:space="preserve">Opišite vse ukrepe, ki se med obračunskim letom izvajajo v tretjih državah ali v zvezi z njimi, in kako ti ukrepi ustvarjajo dodano vrednost Unije pri doseganju ciljev, ki jih je določil Sklad. Navedite imena zadevnih tretjih držav. V opisu pojasnite, da ukrepi, ki so podprti v okviru Sklada, niso usmerjeni v razvoj, so namenjeni interesom notranjih politik Unije in so skladni z dejavnostmi, ki se izvajajo v Uniji. Če je ustrezno, navedite posvetovanja s Komisijo, ki so potekala pred odobritvijo projekta (člen 16(11) Uredbe (EU) 2021/1147). </w:t>
      </w:r>
    </w:p>
    <w:tbl>
      <w:tblPr>
        <w:tblStyle w:val="Tabelamrea"/>
        <w:tblW w:w="0" w:type="auto"/>
        <w:tblLook w:val="04A0" w:firstRow="1" w:lastRow="0" w:firstColumn="1" w:lastColumn="0" w:noHBand="0" w:noVBand="1"/>
      </w:tblPr>
      <w:tblGrid>
        <w:gridCol w:w="9063"/>
      </w:tblGrid>
      <w:tr w:rsidR="00BA2F00" w:rsidRPr="00BA2F00" w14:paraId="1CD6FE45" w14:textId="77777777" w:rsidTr="00E45665">
        <w:tc>
          <w:tcPr>
            <w:tcW w:w="9289" w:type="dxa"/>
          </w:tcPr>
          <w:p w14:paraId="7794A6FC" w14:textId="77777777" w:rsidR="0087657F" w:rsidRPr="00BA2F00" w:rsidRDefault="00CE6AFC" w:rsidP="001E3DE5">
            <w:pPr>
              <w:pStyle w:val="Personnequisigne"/>
              <w:jc w:val="both"/>
              <w:rPr>
                <w:i w:val="0"/>
                <w:noProof/>
                <w:sz w:val="22"/>
              </w:rPr>
            </w:pPr>
            <w:r w:rsidRPr="00BA2F00">
              <w:rPr>
                <w:i w:val="0"/>
                <w:noProof/>
                <w:sz w:val="22"/>
              </w:rPr>
              <w:t>Slovenija v tem obračunskem obdobju ni izvajala ukrepov ali operacij v tretjih državah ali v zvezi z njimi.</w:t>
            </w:r>
          </w:p>
        </w:tc>
      </w:tr>
    </w:tbl>
    <w:p w14:paraId="7EE5661E" w14:textId="77777777" w:rsidR="0087657F" w:rsidRPr="00BA2F00" w:rsidRDefault="00CF7D3B" w:rsidP="001E3DE5">
      <w:pPr>
        <w:pStyle w:val="ManualHeading1"/>
        <w:rPr>
          <w:noProof/>
          <w:sz w:val="22"/>
        </w:rPr>
      </w:pPr>
      <w:r w:rsidRPr="00BA2F00">
        <w:rPr>
          <w:sz w:val="22"/>
        </w:rPr>
        <w:t>7.</w:t>
      </w:r>
      <w:r w:rsidRPr="00BA2F00">
        <w:rPr>
          <w:sz w:val="22"/>
        </w:rPr>
        <w:tab/>
      </w:r>
      <w:r w:rsidR="0087657F" w:rsidRPr="00BA2F00">
        <w:rPr>
          <w:noProof/>
          <w:sz w:val="22"/>
        </w:rPr>
        <w:t>Povzetek – člen 35(2) Uredbe (EU) 2021/1147</w:t>
      </w:r>
    </w:p>
    <w:p w14:paraId="418B90EC" w14:textId="77777777" w:rsidR="0087657F" w:rsidRPr="00BA2F00" w:rsidRDefault="0087657F" w:rsidP="001E3DE5">
      <w:pPr>
        <w:pStyle w:val="Titrearticle"/>
        <w:spacing w:before="240"/>
        <w:jc w:val="both"/>
        <w:rPr>
          <w:i w:val="0"/>
          <w:noProof/>
          <w:sz w:val="22"/>
        </w:rPr>
      </w:pPr>
      <w:r w:rsidRPr="00BA2F00">
        <w:rPr>
          <w:i w:val="0"/>
          <w:noProof/>
          <w:sz w:val="22"/>
        </w:rPr>
        <w:t xml:space="preserve">Predložite povzetek oddelkov 1 do 6, ki bo preveden in javno dostopen. </w:t>
      </w:r>
    </w:p>
    <w:p w14:paraId="224389AC" w14:textId="77777777" w:rsidR="0087657F" w:rsidRPr="00BA2F00" w:rsidRDefault="0087657F" w:rsidP="001E3DE5">
      <w:pPr>
        <w:pStyle w:val="Titrearticle"/>
        <w:spacing w:before="240"/>
        <w:jc w:val="both"/>
        <w:rPr>
          <w:i w:val="0"/>
          <w:noProof/>
          <w:sz w:val="22"/>
        </w:rPr>
      </w:pPr>
      <w:r w:rsidRPr="00BA2F00">
        <w:rPr>
          <w:i w:val="0"/>
          <w:noProof/>
          <w:sz w:val="22"/>
        </w:rPr>
        <w:t xml:space="preserve">Povzetek mora zajemati vsaj vse točke iz člena 35(2) in bi moral biti po možnosti strukturiran po teh točkah. </w:t>
      </w:r>
    </w:p>
    <w:p w14:paraId="14056075" w14:textId="77777777" w:rsidR="0087657F" w:rsidRPr="00BA2F00" w:rsidRDefault="0087657F" w:rsidP="001E3DE5">
      <w:pPr>
        <w:pStyle w:val="Titrearticle"/>
        <w:spacing w:before="240"/>
        <w:jc w:val="both"/>
        <w:rPr>
          <w:i w:val="0"/>
          <w:noProof/>
          <w:sz w:val="22"/>
        </w:rPr>
      </w:pPr>
      <w:r w:rsidRPr="00BA2F00">
        <w:rPr>
          <w:i w:val="0"/>
          <w:noProof/>
          <w:sz w:val="22"/>
        </w:rPr>
        <w:t>Spodbuja se uporaba alinej, krepkega besedila ali informativnih razdelkov, da lahko zainteresirani deležniki zlahka prepoznajo glavne dosežke programa in glavna vprašanja, ki vplivajo na njegovo smotrnost.</w:t>
      </w:r>
    </w:p>
    <w:tbl>
      <w:tblPr>
        <w:tblStyle w:val="Tabelamrea"/>
        <w:tblW w:w="0" w:type="auto"/>
        <w:tblLook w:val="04A0" w:firstRow="1" w:lastRow="0" w:firstColumn="1" w:lastColumn="0" w:noHBand="0" w:noVBand="1"/>
      </w:tblPr>
      <w:tblGrid>
        <w:gridCol w:w="9063"/>
      </w:tblGrid>
      <w:tr w:rsidR="000501CB" w:rsidRPr="00BA2F00" w14:paraId="3E47FAB4" w14:textId="77777777" w:rsidTr="000501CB">
        <w:trPr>
          <w:trHeight w:val="543"/>
        </w:trPr>
        <w:tc>
          <w:tcPr>
            <w:tcW w:w="9289" w:type="dxa"/>
          </w:tcPr>
          <w:p w14:paraId="64AE2523" w14:textId="713D10F4" w:rsidR="00260457" w:rsidRPr="00BA2F00" w:rsidRDefault="00701F91" w:rsidP="00105A2F">
            <w:pPr>
              <w:spacing w:before="0" w:after="160"/>
              <w:rPr>
                <w:sz w:val="22"/>
              </w:rPr>
            </w:pPr>
            <w:r w:rsidRPr="00BA2F00">
              <w:rPr>
                <w:b/>
                <w:sz w:val="22"/>
              </w:rPr>
              <w:t>1. Smotrnost</w:t>
            </w:r>
            <w:r w:rsidRPr="00BA2F00">
              <w:rPr>
                <w:sz w:val="22"/>
              </w:rPr>
              <w:t xml:space="preserve">: </w:t>
            </w:r>
            <w:r w:rsidR="00260457" w:rsidRPr="00BA2F00">
              <w:rPr>
                <w:sz w:val="22"/>
              </w:rPr>
              <w:t xml:space="preserve">Slovenija je v poročevalnem obdobju izvajala vrsto aktivnosti v okviru programa AMIF (Sklad za azil, migracije in vključevanje), </w:t>
            </w:r>
            <w:r w:rsidR="004B36C7" w:rsidRPr="00BA2F00">
              <w:rPr>
                <w:sz w:val="22"/>
              </w:rPr>
              <w:t xml:space="preserve">vključno z vzpostavitvijo in posodabljanjem  </w:t>
            </w:r>
            <w:r w:rsidR="00260457" w:rsidRPr="00BA2F00">
              <w:rPr>
                <w:sz w:val="22"/>
              </w:rPr>
              <w:t>informacijsk</w:t>
            </w:r>
            <w:r w:rsidR="004B36C7" w:rsidRPr="00BA2F00">
              <w:rPr>
                <w:sz w:val="22"/>
              </w:rPr>
              <w:t>ega</w:t>
            </w:r>
            <w:r w:rsidR="00260457" w:rsidRPr="00BA2F00">
              <w:rPr>
                <w:sz w:val="22"/>
              </w:rPr>
              <w:t xml:space="preserve"> siste</w:t>
            </w:r>
            <w:r w:rsidR="00601A9D" w:rsidRPr="00BA2F00">
              <w:rPr>
                <w:sz w:val="22"/>
              </w:rPr>
              <w:t>m</w:t>
            </w:r>
            <w:r w:rsidR="004B36C7" w:rsidRPr="00BA2F00">
              <w:rPr>
                <w:sz w:val="22"/>
              </w:rPr>
              <w:t>a</w:t>
            </w:r>
            <w:r w:rsidR="00260457" w:rsidRPr="00BA2F00">
              <w:rPr>
                <w:sz w:val="22"/>
              </w:rPr>
              <w:t>, prek katerega se upravljajo vsi ključni postopki</w:t>
            </w:r>
            <w:r w:rsidR="006F1B7C" w:rsidRPr="00BA2F00">
              <w:rPr>
                <w:sz w:val="22"/>
              </w:rPr>
              <w:t>.</w:t>
            </w:r>
          </w:p>
          <w:p w14:paraId="07D3A1E9" w14:textId="301BAF61" w:rsidR="00260457" w:rsidRPr="00BA2F00" w:rsidRDefault="00260457" w:rsidP="00105A2F">
            <w:pPr>
              <w:spacing w:before="0" w:after="160"/>
              <w:rPr>
                <w:sz w:val="22"/>
              </w:rPr>
            </w:pPr>
            <w:r w:rsidRPr="00BA2F00">
              <w:rPr>
                <w:sz w:val="22"/>
              </w:rPr>
              <w:t>V tem obdobju se je nadaljevalo z odobravanjem projektov,</w:t>
            </w:r>
            <w:r w:rsidR="000501CB" w:rsidRPr="00BA2F00">
              <w:rPr>
                <w:sz w:val="22"/>
              </w:rPr>
              <w:t xml:space="preserve"> v</w:t>
            </w:r>
            <w:r w:rsidRPr="00BA2F00">
              <w:rPr>
                <w:sz w:val="22"/>
              </w:rPr>
              <w:t xml:space="preserve">ečina sredstev je bila razdeljena neposredno, </w:t>
            </w:r>
            <w:r w:rsidR="002767C4" w:rsidRPr="00BA2F00">
              <w:rPr>
                <w:sz w:val="22"/>
              </w:rPr>
              <w:t xml:space="preserve">manj </w:t>
            </w:r>
            <w:r w:rsidRPr="00BA2F00">
              <w:rPr>
                <w:sz w:val="22"/>
              </w:rPr>
              <w:t xml:space="preserve">prek javnih razpisov. </w:t>
            </w:r>
          </w:p>
          <w:p w14:paraId="03121D5A" w14:textId="645FCE71" w:rsidR="0070092F" w:rsidRPr="00BA2F00" w:rsidRDefault="0070092F" w:rsidP="0070092F">
            <w:pPr>
              <w:spacing w:before="0" w:after="160"/>
              <w:rPr>
                <w:sz w:val="22"/>
              </w:rPr>
            </w:pPr>
            <w:r w:rsidRPr="00BA2F00">
              <w:rPr>
                <w:sz w:val="22"/>
              </w:rPr>
              <w:t>Slovenija je zagotavljala učinkovito izvajanje postopkov mednarodne zaščite, pri čemer so bili prosilci ustrezno informirani, obravnavani v razumljivem jeziku ter deležni pravne pomoči. Posebna pozornost je bila namenjena mladoletnikom brez spremstva in ranljivim skupinam, vključno z zagotavljanjem zakonitih zastopnikov in spremstva v postopkih. Hkrati so se izvajali zdravstveni, psihosocialni in nastanitveni ukrepi, ki presegajo osnovne standarde, ter usposabljanja za strokovno osebje. Cilj je bil zagotoviti visoko raven varstva pravic in ustrezne pogoje za prosilce.</w:t>
            </w:r>
          </w:p>
          <w:p w14:paraId="5F2E23EC" w14:textId="3D0245BA" w:rsidR="00931B9C" w:rsidRPr="00BA2F00" w:rsidRDefault="0070092F" w:rsidP="0070092F">
            <w:pPr>
              <w:spacing w:before="0" w:after="160"/>
              <w:rPr>
                <w:sz w:val="22"/>
              </w:rPr>
            </w:pPr>
            <w:r w:rsidRPr="00BA2F00">
              <w:rPr>
                <w:sz w:val="22"/>
              </w:rPr>
              <w:t>Izvajali so se programi učenja slovenskega jezika in integracije, pri čemer se je število udeležencev občutno povečalo. Posebni programi so bili namenjeni tudi osebam v postopku združitve družine.</w:t>
            </w:r>
            <w:r w:rsidR="002767C4" w:rsidRPr="00BA2F00">
              <w:rPr>
                <w:sz w:val="22"/>
              </w:rPr>
              <w:t xml:space="preserve"> </w:t>
            </w:r>
            <w:r w:rsidRPr="00BA2F00">
              <w:rPr>
                <w:sz w:val="22"/>
              </w:rPr>
              <w:t xml:space="preserve">Poleg jezikovnega </w:t>
            </w:r>
            <w:proofErr w:type="spellStart"/>
            <w:r w:rsidRPr="00BA2F00">
              <w:rPr>
                <w:sz w:val="22"/>
              </w:rPr>
              <w:t>opolnomočenja</w:t>
            </w:r>
            <w:proofErr w:type="spellEnd"/>
            <w:r w:rsidRPr="00BA2F00">
              <w:rPr>
                <w:sz w:val="22"/>
              </w:rPr>
              <w:t xml:space="preserve"> so potekale aktivnosti za lažje vključevanje v družbo (svetovanje, učna pomoč, kulturne in športne dejavnosti) ter vzpostavitev informacijskega središča za tujce.</w:t>
            </w:r>
            <w:r w:rsidR="002767C4" w:rsidRPr="00BA2F00">
              <w:rPr>
                <w:sz w:val="22"/>
              </w:rPr>
              <w:t xml:space="preserve"> Zaradi </w:t>
            </w:r>
            <w:r w:rsidRPr="00BA2F00">
              <w:rPr>
                <w:sz w:val="22"/>
              </w:rPr>
              <w:t>zamiko</w:t>
            </w:r>
            <w:r w:rsidR="00CB7106" w:rsidRPr="00BA2F00">
              <w:rPr>
                <w:sz w:val="22"/>
              </w:rPr>
              <w:t>v</w:t>
            </w:r>
            <w:r w:rsidRPr="00BA2F00">
              <w:rPr>
                <w:sz w:val="22"/>
              </w:rPr>
              <w:t xml:space="preserve"> pri nekaterih projektih so se sredstva preusmerjala v ključne integracijske aktivnosti, predvsem učenje jezika</w:t>
            </w:r>
            <w:r w:rsidR="00CB7106" w:rsidRPr="00BA2F00">
              <w:rPr>
                <w:sz w:val="22"/>
              </w:rPr>
              <w:t>,</w:t>
            </w:r>
            <w:r w:rsidRPr="00BA2F00">
              <w:rPr>
                <w:sz w:val="22"/>
              </w:rPr>
              <w:t xml:space="preserve"> kot temelj vključevanja.</w:t>
            </w:r>
          </w:p>
          <w:p w14:paraId="093D5473" w14:textId="0824FA44" w:rsidR="002767C4" w:rsidRPr="00BA2F00" w:rsidRDefault="0070092F" w:rsidP="0070092F">
            <w:pPr>
              <w:spacing w:before="0" w:after="160"/>
              <w:rPr>
                <w:sz w:val="22"/>
              </w:rPr>
            </w:pPr>
            <w:r w:rsidRPr="00BA2F00">
              <w:rPr>
                <w:sz w:val="22"/>
              </w:rPr>
              <w:br/>
              <w:t xml:space="preserve">Izvajali so se ukrepi vračanja, vključno s prostovoljnimi in prisilnimi vračanji, ob podpori </w:t>
            </w:r>
            <w:proofErr w:type="spellStart"/>
            <w:r w:rsidRPr="00BA2F00">
              <w:rPr>
                <w:sz w:val="22"/>
              </w:rPr>
              <w:t>Frontexa</w:t>
            </w:r>
            <w:proofErr w:type="spellEnd"/>
            <w:r w:rsidRPr="00BA2F00">
              <w:rPr>
                <w:sz w:val="22"/>
              </w:rPr>
              <w:t>, ter zagotavljanjem celostne obravnave oseb v postopku (zdravstvena, psihosocialna in administrativna pomoč). V Centru za tujce je bila zagotovljena oskrba na ustrezni ravni.</w:t>
            </w:r>
            <w:r w:rsidR="002767C4" w:rsidRPr="00BA2F00">
              <w:rPr>
                <w:sz w:val="22"/>
              </w:rPr>
              <w:t xml:space="preserve"> </w:t>
            </w:r>
            <w:r w:rsidRPr="00BA2F00">
              <w:rPr>
                <w:sz w:val="22"/>
              </w:rPr>
              <w:t>Napredek je bil dosežen tudi pri razvoju IT sistem</w:t>
            </w:r>
            <w:r w:rsidR="002767C4" w:rsidRPr="00BA2F00">
              <w:rPr>
                <w:sz w:val="22"/>
              </w:rPr>
              <w:t xml:space="preserve">a </w:t>
            </w:r>
            <w:r w:rsidRPr="00BA2F00">
              <w:rPr>
                <w:sz w:val="22"/>
              </w:rPr>
              <w:t>RECAMAS in mednarodnem sodelovanju, vendar so bili finančni učinki</w:t>
            </w:r>
            <w:r w:rsidR="00931B9C" w:rsidRPr="00BA2F00">
              <w:rPr>
                <w:sz w:val="22"/>
              </w:rPr>
              <w:t>,</w:t>
            </w:r>
            <w:r w:rsidRPr="00BA2F00">
              <w:rPr>
                <w:sz w:val="22"/>
              </w:rPr>
              <w:t xml:space="preserve"> zaradi faze implementacije in zamikov nižji od načrtovanih.</w:t>
            </w:r>
          </w:p>
          <w:p w14:paraId="2F5BDD46" w14:textId="62F29C1A" w:rsidR="0070092F" w:rsidRPr="00BA2F00" w:rsidRDefault="0070092F" w:rsidP="0070092F">
            <w:pPr>
              <w:spacing w:before="0" w:after="160"/>
              <w:rPr>
                <w:sz w:val="22"/>
              </w:rPr>
            </w:pPr>
            <w:r w:rsidRPr="00BA2F00">
              <w:rPr>
                <w:sz w:val="22"/>
              </w:rPr>
              <w:br/>
              <w:t>Slovenija je vzpostavila pravni in strateški okvir za izvajanje solidarnostnih ukrepov na področju migracij in azila. V preteklih letih so bile izvedene premestitve in preselitve oseb, v obdobju poročanja novih ni bilo.</w:t>
            </w:r>
            <w:r w:rsidR="002767C4" w:rsidRPr="00BA2F00">
              <w:rPr>
                <w:sz w:val="22"/>
              </w:rPr>
              <w:t xml:space="preserve"> </w:t>
            </w:r>
            <w:r w:rsidRPr="00BA2F00">
              <w:rPr>
                <w:sz w:val="22"/>
              </w:rPr>
              <w:t>Hkrati je država intenzivno pripravljala sistem na izvajanje novega evropskega pakta, z zakonodajnimi prilagoditvami in razvojem novih postopkov upravljanja migracij in azila.</w:t>
            </w:r>
            <w:r w:rsidR="002767C4" w:rsidRPr="00BA2F00">
              <w:rPr>
                <w:sz w:val="22"/>
              </w:rPr>
              <w:t xml:space="preserve"> </w:t>
            </w:r>
            <w:r w:rsidRPr="00BA2F00">
              <w:rPr>
                <w:sz w:val="22"/>
              </w:rPr>
              <w:t>Načrtovane so nadgradnje IT sistemov (</w:t>
            </w:r>
            <w:proofErr w:type="spellStart"/>
            <w:r w:rsidRPr="00BA2F00">
              <w:rPr>
                <w:sz w:val="22"/>
              </w:rPr>
              <w:t>Eurodac</w:t>
            </w:r>
            <w:proofErr w:type="spellEnd"/>
            <w:r w:rsidRPr="00BA2F00">
              <w:rPr>
                <w:sz w:val="22"/>
              </w:rPr>
              <w:t>), vzpostavitev novih mehanizmov ter dodatne kadrovske in infrastrukturne okrepitve za učinkovito izvajanje prihodnjih obveznosti.</w:t>
            </w:r>
          </w:p>
          <w:p w14:paraId="4510EAA8" w14:textId="1EEB4020" w:rsidR="000501CB" w:rsidRPr="00BA2F00" w:rsidRDefault="000501CB" w:rsidP="00105A2F">
            <w:pPr>
              <w:spacing w:before="0" w:after="160"/>
              <w:rPr>
                <w:sz w:val="22"/>
              </w:rPr>
            </w:pPr>
            <w:r w:rsidRPr="00BA2F00">
              <w:rPr>
                <w:sz w:val="22"/>
              </w:rPr>
              <w:t>Na smotrnost programa AMIF vplivajo spremembe potreb upravičencev</w:t>
            </w:r>
            <w:r w:rsidR="002767C4" w:rsidRPr="00BA2F00">
              <w:rPr>
                <w:sz w:val="22"/>
              </w:rPr>
              <w:t>,</w:t>
            </w:r>
            <w:r w:rsidRPr="00BA2F00">
              <w:rPr>
                <w:sz w:val="22"/>
              </w:rPr>
              <w:t xml:space="preserve"> uporaba drugih virov financiranja</w:t>
            </w:r>
            <w:r w:rsidR="002767C4" w:rsidRPr="00BA2F00">
              <w:rPr>
                <w:sz w:val="22"/>
              </w:rPr>
              <w:t xml:space="preserve"> in z</w:t>
            </w:r>
            <w:r w:rsidRPr="00BA2F00">
              <w:rPr>
                <w:sz w:val="22"/>
              </w:rPr>
              <w:t xml:space="preserve">amude pri izvajanju aktivnosti </w:t>
            </w:r>
            <w:r w:rsidR="002767C4" w:rsidRPr="00BA2F00">
              <w:rPr>
                <w:sz w:val="22"/>
              </w:rPr>
              <w:t xml:space="preserve">kot </w:t>
            </w:r>
            <w:r w:rsidRPr="00BA2F00">
              <w:rPr>
                <w:sz w:val="22"/>
              </w:rPr>
              <w:t>posledica dolgotrajnih postopkov javnih naročil</w:t>
            </w:r>
            <w:r w:rsidR="002767C4" w:rsidRPr="00BA2F00">
              <w:rPr>
                <w:sz w:val="22"/>
              </w:rPr>
              <w:t xml:space="preserve">. </w:t>
            </w:r>
            <w:r w:rsidR="009A32ED" w:rsidRPr="00BA2F00">
              <w:rPr>
                <w:sz w:val="22"/>
              </w:rPr>
              <w:t>Poleg tega so predvidene spremembe, zaradi izvajanja Pakta o migracijah in azilu prispevale k zamudam pri doseganju mejnikov za leto 2024 pri nekaterih kazalnikih in aktivnostih</w:t>
            </w:r>
            <w:r w:rsidRPr="00BA2F00">
              <w:rPr>
                <w:sz w:val="22"/>
              </w:rPr>
              <w:t>.</w:t>
            </w:r>
            <w:r w:rsidR="002767C4" w:rsidRPr="00BA2F00">
              <w:rPr>
                <w:sz w:val="22"/>
              </w:rPr>
              <w:t xml:space="preserve"> </w:t>
            </w:r>
            <w:r w:rsidR="009A32ED" w:rsidRPr="00BA2F00">
              <w:rPr>
                <w:sz w:val="22"/>
              </w:rPr>
              <w:t xml:space="preserve">Kljub temu, </w:t>
            </w:r>
            <w:r w:rsidRPr="00BA2F00">
              <w:rPr>
                <w:sz w:val="22"/>
              </w:rPr>
              <w:t>OU ocenjuje, da zadnja verzija programa in metodologije (4.0) ustrezno odraža nove potrebe in popravi prvotne nepravilnosti, zato bodo ciljne vrednosti kazalnikov v večini primerov dosežene. Nekateri kazalniki, povezani z operacijami prek javnih razpisov, bodo doseženi z zamudo ali pa bodo sredstva prerazporejena na aktivnosti z višjimi potrebami (npr. jezikovni tečaji, sprejemna infrastruktura, podpora ranljivim udeležencem)</w:t>
            </w:r>
            <w:r w:rsidR="002249F8" w:rsidRPr="00BA2F00">
              <w:rPr>
                <w:sz w:val="22"/>
              </w:rPr>
              <w:t>.</w:t>
            </w:r>
          </w:p>
          <w:p w14:paraId="7A5894F0" w14:textId="77777777" w:rsidR="00CC5F2D" w:rsidRPr="00BA2F00" w:rsidRDefault="00701F91" w:rsidP="00CC5F2D">
            <w:pPr>
              <w:pStyle w:val="Tiret0"/>
              <w:numPr>
                <w:ilvl w:val="0"/>
                <w:numId w:val="0"/>
              </w:numPr>
              <w:rPr>
                <w:sz w:val="22"/>
              </w:rPr>
            </w:pPr>
            <w:r w:rsidRPr="00BA2F00">
              <w:rPr>
                <w:b/>
                <w:noProof/>
                <w:sz w:val="22"/>
              </w:rPr>
              <w:t>2. Dopolnjevanja</w:t>
            </w:r>
            <w:r w:rsidR="005E523F" w:rsidRPr="00BA2F00">
              <w:rPr>
                <w:b/>
                <w:noProof/>
                <w:sz w:val="22"/>
              </w:rPr>
              <w:t>:</w:t>
            </w:r>
            <w:r w:rsidR="005E523F" w:rsidRPr="00BA2F00">
              <w:rPr>
                <w:noProof/>
                <w:sz w:val="22"/>
              </w:rPr>
              <w:t xml:space="preserve"> </w:t>
            </w:r>
            <w:r w:rsidR="000D4AB1" w:rsidRPr="00BA2F00">
              <w:rPr>
                <w:sz w:val="22"/>
              </w:rPr>
              <w:t>Znotraj AMIF je zaznati vsebinsko povezanost med operacijami na področju mednarodne zaščite (vodenje postopkov, krepitev administrativnih zmogljivosti) ter operacijami, namenjenimi zagotavljanju ustreznih sprejemnih pogojev, integraciji in vračanju. Poseben poudarek je na usklajenosti AMIF, SNV in IUMV za preprečevanje nezakonitih migracij, kar omogoča skladno izvajanje varnostnih, upravnih in integracijskih vidikov migracijskih politik ter preprečuje podvajanje ukrepov. Sistem vračanja, ki ga izvaja Policija, se dopolnjuje z mehanizmi Agencije Frontex (npr. platforma FAR za organizacijo vračanj</w:t>
            </w:r>
            <w:r w:rsidR="00105A2F" w:rsidRPr="00BA2F00">
              <w:rPr>
                <w:sz w:val="22"/>
              </w:rPr>
              <w:t>,</w:t>
            </w:r>
            <w:r w:rsidR="000D4AB1" w:rsidRPr="00BA2F00">
              <w:rPr>
                <w:sz w:val="22"/>
              </w:rPr>
              <w:t xml:space="preserve"> program EURP za reintegracijo po vrnitvi</w:t>
            </w:r>
            <w:r w:rsidR="00477BD9" w:rsidRPr="00BA2F00">
              <w:rPr>
                <w:sz w:val="22"/>
              </w:rPr>
              <w:t>)</w:t>
            </w:r>
            <w:r w:rsidR="000D4AB1" w:rsidRPr="00BA2F00">
              <w:rPr>
                <w:sz w:val="22"/>
              </w:rPr>
              <w:t xml:space="preserve">. Poleg tega Agencija Evropske unije za azil podpira izvajanje usposabljanj zaposlenih </w:t>
            </w:r>
            <w:r w:rsidR="00105A2F" w:rsidRPr="00BA2F00">
              <w:rPr>
                <w:sz w:val="22"/>
              </w:rPr>
              <w:t>za</w:t>
            </w:r>
            <w:r w:rsidR="000D4AB1" w:rsidRPr="00BA2F00">
              <w:rPr>
                <w:sz w:val="22"/>
              </w:rPr>
              <w:t xml:space="preserve"> postopke mednarodne zaščite, s poudarkom na dublinskih postopkih, temeljnih vidikih postopkovne uredbe ter obravnavi ranljivih skupin, kar dodatno prispeva k strokovni usposobljenosti in skladnemu izvajanju migracijskih politik.</w:t>
            </w:r>
          </w:p>
          <w:p w14:paraId="21E83E13" w14:textId="03339E91" w:rsidR="000D4AB1" w:rsidRPr="00BA2F00" w:rsidRDefault="000D4AB1" w:rsidP="00CC5F2D">
            <w:pPr>
              <w:pStyle w:val="Tiret0"/>
              <w:numPr>
                <w:ilvl w:val="0"/>
                <w:numId w:val="0"/>
              </w:numPr>
              <w:rPr>
                <w:sz w:val="22"/>
              </w:rPr>
            </w:pPr>
            <w:r w:rsidRPr="00BA2F00">
              <w:rPr>
                <w:iCs/>
                <w:sz w:val="22"/>
              </w:rPr>
              <w:t xml:space="preserve">AMIF dopolnjuje </w:t>
            </w:r>
            <w:r w:rsidR="00CC5F2D" w:rsidRPr="00BA2F00">
              <w:rPr>
                <w:iCs/>
                <w:sz w:val="22"/>
              </w:rPr>
              <w:t>ESS+</w:t>
            </w:r>
            <w:r w:rsidRPr="00BA2F00">
              <w:rPr>
                <w:iCs/>
                <w:sz w:val="22"/>
              </w:rPr>
              <w:t>,</w:t>
            </w:r>
            <w:r w:rsidRPr="00BA2F00">
              <w:rPr>
                <w:b/>
                <w:bCs/>
                <w:iCs/>
                <w:sz w:val="22"/>
              </w:rPr>
              <w:t xml:space="preserve"> </w:t>
            </w:r>
            <w:r w:rsidRPr="00BA2F00">
              <w:rPr>
                <w:iCs/>
                <w:sz w:val="22"/>
              </w:rPr>
              <w:t>ki zagotavlja dolgoročnejše ukrepe socialnega vključevanja, zaposlovanja in usposabljanja migrantov, medtem ko AMIF financira začetne integracijske in podporne aktivnosti. Dopolnjevanje poteka tudi prek centraliziranih projektov AMIF, ki jih neposredno financira Evropska komisija in so usmerjeni v krepitev varstva ranljivih skupin, podpor</w:t>
            </w:r>
            <w:r w:rsidR="00CC5F2D" w:rsidRPr="00BA2F00">
              <w:rPr>
                <w:iCs/>
                <w:sz w:val="22"/>
              </w:rPr>
              <w:t>i</w:t>
            </w:r>
            <w:r w:rsidRPr="00BA2F00">
              <w:rPr>
                <w:iCs/>
                <w:sz w:val="22"/>
              </w:rPr>
              <w:t xml:space="preserve"> mladoletnikom brez spremstva, vključevanje na trg dela ter krepitev participacije migrantov na lokalni ravni. Na lokalni ravni ukrepe AMIF vsebinsko nadgrajujejo tudi programi Mestne občine Ljubljana</w:t>
            </w:r>
            <w:r w:rsidR="00314403" w:rsidRPr="00BA2F00">
              <w:rPr>
                <w:iCs/>
                <w:sz w:val="22"/>
              </w:rPr>
              <w:t xml:space="preserve"> ter </w:t>
            </w:r>
            <w:r w:rsidRPr="00BA2F00">
              <w:rPr>
                <w:iCs/>
                <w:sz w:val="22"/>
              </w:rPr>
              <w:t xml:space="preserve">projekti, financirani s strani UNHCR ter Evropske solidarnostne enote. </w:t>
            </w:r>
          </w:p>
          <w:p w14:paraId="0EDB1837" w14:textId="77777777" w:rsidR="000D4AB1" w:rsidRPr="00BA2F00" w:rsidRDefault="000D4AB1" w:rsidP="00105A2F">
            <w:pPr>
              <w:pStyle w:val="Personnequisigne"/>
              <w:jc w:val="both"/>
              <w:rPr>
                <w:b/>
                <w:i w:val="0"/>
                <w:noProof/>
                <w:sz w:val="22"/>
              </w:rPr>
            </w:pPr>
          </w:p>
          <w:p w14:paraId="0FBA5D73" w14:textId="0D0A72A3" w:rsidR="0020658F" w:rsidRPr="00BA2F00" w:rsidRDefault="00701F91" w:rsidP="00105A2F">
            <w:pPr>
              <w:pStyle w:val="Personnequisigne"/>
              <w:jc w:val="both"/>
              <w:rPr>
                <w:i w:val="0"/>
                <w:noProof/>
                <w:sz w:val="22"/>
              </w:rPr>
            </w:pPr>
            <w:r w:rsidRPr="00BA2F00">
              <w:rPr>
                <w:b/>
                <w:i w:val="0"/>
                <w:noProof/>
                <w:sz w:val="22"/>
              </w:rPr>
              <w:t>3. Izvajanje pravnega reda Unije</w:t>
            </w:r>
            <w:r w:rsidRPr="00BA2F00">
              <w:rPr>
                <w:i w:val="0"/>
                <w:noProof/>
                <w:sz w:val="22"/>
              </w:rPr>
              <w:t xml:space="preserve">: </w:t>
            </w:r>
            <w:r w:rsidR="0020658F" w:rsidRPr="00BA2F00">
              <w:rPr>
                <w:i w:val="0"/>
                <w:noProof/>
                <w:sz w:val="22"/>
              </w:rPr>
              <w:t xml:space="preserve">Slovenija je dosledno izvajala vse operacije v skladu s pravnim redom </w:t>
            </w:r>
            <w:r w:rsidR="00105A2F" w:rsidRPr="00BA2F00">
              <w:rPr>
                <w:i w:val="0"/>
                <w:noProof/>
                <w:sz w:val="22"/>
              </w:rPr>
              <w:t>EU</w:t>
            </w:r>
            <w:r w:rsidR="0020658F" w:rsidRPr="00BA2F00">
              <w:rPr>
                <w:i w:val="0"/>
                <w:noProof/>
                <w:sz w:val="22"/>
              </w:rPr>
              <w:t>, s čimer je pomembno prispevala k uresničevanju določb Pogodbe o delovanju EU, Listine EU o temeljnih pravicah, Konvencije o statusu beguncev ter Konvencije o otrokovih pravicah.</w:t>
            </w:r>
          </w:p>
          <w:p w14:paraId="1C137182" w14:textId="77777777" w:rsidR="0020658F" w:rsidRPr="00BA2F00" w:rsidRDefault="0020658F" w:rsidP="00105A2F">
            <w:pPr>
              <w:pStyle w:val="Personnequisigne"/>
              <w:jc w:val="both"/>
              <w:rPr>
                <w:i w:val="0"/>
                <w:noProof/>
                <w:sz w:val="22"/>
              </w:rPr>
            </w:pPr>
          </w:p>
          <w:p w14:paraId="2540DFF2" w14:textId="7D518011" w:rsidR="00D700B2" w:rsidRPr="00BA2F00" w:rsidRDefault="0020658F" w:rsidP="00105A2F">
            <w:pPr>
              <w:pStyle w:val="Personnequisigne"/>
              <w:jc w:val="both"/>
              <w:rPr>
                <w:noProof/>
                <w:sz w:val="22"/>
              </w:rPr>
            </w:pPr>
            <w:r w:rsidRPr="00BA2F00">
              <w:rPr>
                <w:i w:val="0"/>
                <w:noProof/>
                <w:sz w:val="22"/>
              </w:rPr>
              <w:t>Na ravni EU program neposredno prispeva k učinkovitemu izvajanju ključnih direktiv in uredb s področij azila, migracij, vračanja in integracije, kot so Direktiva o pogojih za mednarodno zaščito (2011/95/EU)</w:t>
            </w:r>
            <w:r w:rsidR="009A5012" w:rsidRPr="00BA2F00">
              <w:rPr>
                <w:i w:val="0"/>
                <w:noProof/>
                <w:sz w:val="22"/>
              </w:rPr>
              <w:t xml:space="preserve"> - preko</w:t>
            </w:r>
            <w:r w:rsidR="00105A2F" w:rsidRPr="00BA2F00">
              <w:rPr>
                <w:i w:val="0"/>
                <w:noProof/>
                <w:sz w:val="22"/>
              </w:rPr>
              <w:t xml:space="preserve"> operacij, namenjenih zagotavljanju začetnega sprejema prosilcev za mednarodno zaščito, izvajanja začetne integracije ter osnovnih socialnih in jezikovnih storitev</w:t>
            </w:r>
            <w:r w:rsidR="009A5012" w:rsidRPr="00BA2F00">
              <w:rPr>
                <w:i w:val="0"/>
                <w:noProof/>
                <w:sz w:val="22"/>
              </w:rPr>
              <w:t xml:space="preserve">, </w:t>
            </w:r>
            <w:r w:rsidRPr="00BA2F00">
              <w:rPr>
                <w:i w:val="0"/>
                <w:noProof/>
                <w:sz w:val="22"/>
              </w:rPr>
              <w:t>Dublinska uredba (604/2013/EU)</w:t>
            </w:r>
            <w:r w:rsidR="009A5012" w:rsidRPr="00BA2F00">
              <w:rPr>
                <w:i w:val="0"/>
                <w:noProof/>
                <w:sz w:val="22"/>
              </w:rPr>
              <w:t xml:space="preserve"> </w:t>
            </w:r>
            <w:r w:rsidR="001343A9" w:rsidRPr="00BA2F00">
              <w:rPr>
                <w:i w:val="0"/>
                <w:noProof/>
                <w:sz w:val="22"/>
              </w:rPr>
              <w:t>–</w:t>
            </w:r>
            <w:r w:rsidR="009A5012" w:rsidRPr="00BA2F00">
              <w:rPr>
                <w:i w:val="0"/>
                <w:noProof/>
                <w:sz w:val="22"/>
              </w:rPr>
              <w:t xml:space="preserve"> </w:t>
            </w:r>
            <w:r w:rsidR="001343A9" w:rsidRPr="00BA2F00">
              <w:rPr>
                <w:i w:val="0"/>
                <w:noProof/>
                <w:sz w:val="22"/>
              </w:rPr>
              <w:t xml:space="preserve">npr. </w:t>
            </w:r>
            <w:r w:rsidR="009A5012" w:rsidRPr="00BA2F00">
              <w:rPr>
                <w:i w:val="0"/>
                <w:noProof/>
                <w:sz w:val="22"/>
              </w:rPr>
              <w:t>preko operacij</w:t>
            </w:r>
            <w:r w:rsidR="00105A2F" w:rsidRPr="00BA2F00">
              <w:rPr>
                <w:i w:val="0"/>
                <w:noProof/>
                <w:sz w:val="22"/>
              </w:rPr>
              <w:t xml:space="preserve"> namenjenih obravnav</w:t>
            </w:r>
            <w:r w:rsidR="001343A9" w:rsidRPr="00BA2F00">
              <w:rPr>
                <w:i w:val="0"/>
                <w:noProof/>
                <w:sz w:val="22"/>
              </w:rPr>
              <w:t>i</w:t>
            </w:r>
            <w:r w:rsidR="00105A2F" w:rsidRPr="00BA2F00">
              <w:rPr>
                <w:i w:val="0"/>
                <w:noProof/>
                <w:sz w:val="22"/>
              </w:rPr>
              <w:t xml:space="preserve"> </w:t>
            </w:r>
            <w:r w:rsidR="001343A9" w:rsidRPr="00BA2F00">
              <w:rPr>
                <w:i w:val="0"/>
                <w:noProof/>
                <w:sz w:val="22"/>
              </w:rPr>
              <w:t xml:space="preserve">za azil, premestitvi  prosilcev, izmenjavi podatkov o prosilcih, </w:t>
            </w:r>
            <w:r w:rsidRPr="00BA2F00">
              <w:rPr>
                <w:i w:val="0"/>
                <w:noProof/>
                <w:sz w:val="22"/>
              </w:rPr>
              <w:t xml:space="preserve">Direktiva o vračanju (2008/115/ES), Schengenski zakonik (Uredba 2016/399/EU) in Akcijski načrt EU za integracijo za obdobje 2021–2027. </w:t>
            </w:r>
            <w:r w:rsidR="00D700B2" w:rsidRPr="00BA2F00">
              <w:rPr>
                <w:i w:val="0"/>
                <w:noProof/>
                <w:sz w:val="22"/>
              </w:rPr>
              <w:t>Prispeval je tudi k mehanizmom solidarnosti EU prek relokacij in preselitev.</w:t>
            </w:r>
            <w:r w:rsidR="00D700B2" w:rsidRPr="00BA2F00">
              <w:rPr>
                <w:noProof/>
                <w:sz w:val="22"/>
              </w:rPr>
              <w:t xml:space="preserve"> </w:t>
            </w:r>
          </w:p>
          <w:p w14:paraId="0A4C529D" w14:textId="77777777" w:rsidR="005E5136" w:rsidRPr="00BA2F00" w:rsidRDefault="005E5136" w:rsidP="00105A2F">
            <w:pPr>
              <w:tabs>
                <w:tab w:val="left" w:pos="4252"/>
              </w:tabs>
              <w:autoSpaceDE w:val="0"/>
              <w:autoSpaceDN w:val="0"/>
              <w:adjustRightInd w:val="0"/>
              <w:spacing w:before="0" w:after="0"/>
              <w:rPr>
                <w:sz w:val="22"/>
              </w:rPr>
            </w:pPr>
          </w:p>
          <w:p w14:paraId="1D716400" w14:textId="79EB24FC" w:rsidR="005E28C6" w:rsidRPr="00BA2F00" w:rsidRDefault="00D700B2" w:rsidP="00105A2F">
            <w:pPr>
              <w:tabs>
                <w:tab w:val="left" w:pos="4252"/>
              </w:tabs>
              <w:autoSpaceDE w:val="0"/>
              <w:autoSpaceDN w:val="0"/>
              <w:adjustRightInd w:val="0"/>
              <w:spacing w:before="0" w:after="0"/>
              <w:rPr>
                <w:sz w:val="22"/>
              </w:rPr>
            </w:pPr>
            <w:r w:rsidRPr="00BA2F00">
              <w:rPr>
                <w:sz w:val="22"/>
              </w:rPr>
              <w:t xml:space="preserve">Gledano naprej bo Slovenija junija 2026 vzpostavila sistem skupnega upravljanja migracij in azila v EU. To bo zahtevalo sprejetje </w:t>
            </w:r>
            <w:r w:rsidR="00CC5F2D" w:rsidRPr="00BA2F00">
              <w:rPr>
                <w:sz w:val="22"/>
              </w:rPr>
              <w:t xml:space="preserve">številnih </w:t>
            </w:r>
            <w:r w:rsidRPr="00BA2F00">
              <w:rPr>
                <w:sz w:val="22"/>
              </w:rPr>
              <w:t>prilagojenih pravnih aktov (Zakon o mednarodni zaščiti, Zakon o tujcih, Zakon o nalogah in pooblastilih policije, Zakon o nadzoru državne meje ter zakonodajo, ki ureja organizacijo pravosodja in sodno varstvo, zaposlovanje in delo, izobraževanje, skrbništvo, varstvo osebnih podatkov), za katerega so se v okviru obračunskega leta izvedla posvetovanja z vsemi relevantnimi deležniki.</w:t>
            </w:r>
          </w:p>
          <w:p w14:paraId="174EAC4A" w14:textId="77777777" w:rsidR="00D700B2" w:rsidRPr="00BA2F00" w:rsidRDefault="00D700B2" w:rsidP="00105A2F">
            <w:pPr>
              <w:tabs>
                <w:tab w:val="left" w:pos="4252"/>
              </w:tabs>
              <w:autoSpaceDE w:val="0"/>
              <w:autoSpaceDN w:val="0"/>
              <w:adjustRightInd w:val="0"/>
              <w:spacing w:before="0" w:after="0"/>
              <w:rPr>
                <w:sz w:val="22"/>
              </w:rPr>
            </w:pPr>
          </w:p>
          <w:p w14:paraId="7D6D2876" w14:textId="33A53714" w:rsidR="00C56D53" w:rsidRPr="00BA2F00" w:rsidRDefault="005E28C6" w:rsidP="00105A2F">
            <w:pPr>
              <w:pStyle w:val="Personnequisigne"/>
              <w:jc w:val="both"/>
              <w:rPr>
                <w:i w:val="0"/>
                <w:sz w:val="22"/>
              </w:rPr>
            </w:pPr>
            <w:r w:rsidRPr="00BA2F00">
              <w:rPr>
                <w:b/>
                <w:i w:val="0"/>
                <w:noProof/>
                <w:sz w:val="22"/>
              </w:rPr>
              <w:t>4. Komuniciranje in prepoznavnost:</w:t>
            </w:r>
            <w:r w:rsidRPr="00BA2F00">
              <w:rPr>
                <w:i w:val="0"/>
                <w:noProof/>
                <w:sz w:val="22"/>
              </w:rPr>
              <w:t xml:space="preserve"> </w:t>
            </w:r>
            <w:r w:rsidR="00C56D53" w:rsidRPr="00BA2F00">
              <w:rPr>
                <w:i w:val="0"/>
                <w:noProof/>
                <w:sz w:val="22"/>
              </w:rPr>
              <w:t xml:space="preserve">Slovenija vestno skrbi za promocijo </w:t>
            </w:r>
            <w:r w:rsidR="00C56D53" w:rsidRPr="00BA2F00">
              <w:rPr>
                <w:i w:val="0"/>
                <w:sz w:val="22"/>
              </w:rPr>
              <w:t>program</w:t>
            </w:r>
            <w:r w:rsidR="002601B1" w:rsidRPr="00BA2F00">
              <w:rPr>
                <w:i w:val="0"/>
                <w:sz w:val="22"/>
              </w:rPr>
              <w:t>a</w:t>
            </w:r>
            <w:r w:rsidR="00C56D53" w:rsidRPr="00BA2F00">
              <w:rPr>
                <w:i w:val="0"/>
                <w:sz w:val="22"/>
              </w:rPr>
              <w:t xml:space="preserve"> s področja </w:t>
            </w:r>
            <w:r w:rsidR="00CC5F2D" w:rsidRPr="00BA2F00">
              <w:rPr>
                <w:i w:val="0"/>
                <w:sz w:val="22"/>
              </w:rPr>
              <w:t>migracij</w:t>
            </w:r>
            <w:r w:rsidR="00C56D53" w:rsidRPr="00BA2F00">
              <w:rPr>
                <w:i w:val="0"/>
                <w:sz w:val="22"/>
              </w:rPr>
              <w:t xml:space="preserve">, </w:t>
            </w:r>
            <w:r w:rsidR="002601B1" w:rsidRPr="00BA2F00">
              <w:rPr>
                <w:i w:val="0"/>
                <w:sz w:val="22"/>
              </w:rPr>
              <w:t>kjer nastajajo številne operacije za izboljšanje vsakdana.</w:t>
            </w:r>
          </w:p>
          <w:p w14:paraId="45C53163" w14:textId="5A2EE40D" w:rsidR="00A346A8" w:rsidRPr="00BA2F00" w:rsidRDefault="00C56D53" w:rsidP="00105A2F">
            <w:pPr>
              <w:autoSpaceDE w:val="0"/>
              <w:autoSpaceDN w:val="0"/>
              <w:adjustRightInd w:val="0"/>
              <w:spacing w:before="240" w:after="0"/>
              <w:rPr>
                <w:iCs/>
                <w:sz w:val="22"/>
              </w:rPr>
            </w:pPr>
            <w:proofErr w:type="spellStart"/>
            <w:r w:rsidRPr="00BA2F00">
              <w:rPr>
                <w:iCs/>
                <w:sz w:val="22"/>
              </w:rPr>
              <w:t>Obležili</w:t>
            </w:r>
            <w:proofErr w:type="spellEnd"/>
            <w:r w:rsidRPr="00BA2F00">
              <w:rPr>
                <w:iCs/>
                <w:sz w:val="22"/>
              </w:rPr>
              <w:t xml:space="preserve"> smo Dan Evrope ter </w:t>
            </w:r>
            <w:r w:rsidRPr="00BA2F00">
              <w:rPr>
                <w:sz w:val="22"/>
              </w:rPr>
              <w:t xml:space="preserve">organizirali tudi slavnostni dogodek ob zaključku programskega obdobja 2014 – 2020, s spremljajočo razstavo uspešnih sofinanciranih projektov iz </w:t>
            </w:r>
            <w:r w:rsidR="00CC5F2D" w:rsidRPr="00BA2F00">
              <w:rPr>
                <w:sz w:val="22"/>
              </w:rPr>
              <w:t>sklad</w:t>
            </w:r>
            <w:r w:rsidR="002601B1" w:rsidRPr="00BA2F00">
              <w:rPr>
                <w:sz w:val="22"/>
              </w:rPr>
              <w:t>a</w:t>
            </w:r>
            <w:r w:rsidR="00CC5F2D" w:rsidRPr="00BA2F00">
              <w:rPr>
                <w:sz w:val="22"/>
              </w:rPr>
              <w:t xml:space="preserve"> notranje varnosti in migracij</w:t>
            </w:r>
            <w:r w:rsidRPr="00BA2F00">
              <w:rPr>
                <w:sz w:val="22"/>
              </w:rPr>
              <w:t xml:space="preserve">. </w:t>
            </w:r>
            <w:r w:rsidRPr="00BA2F00">
              <w:rPr>
                <w:iCs/>
                <w:sz w:val="22"/>
              </w:rPr>
              <w:t xml:space="preserve">V okviru </w:t>
            </w:r>
            <w:r w:rsidR="00A346A8" w:rsidRPr="00BA2F00">
              <w:rPr>
                <w:iCs/>
                <w:sz w:val="22"/>
              </w:rPr>
              <w:t xml:space="preserve">letne </w:t>
            </w:r>
            <w:r w:rsidRPr="00BA2F00">
              <w:rPr>
                <w:iCs/>
                <w:sz w:val="22"/>
              </w:rPr>
              <w:t xml:space="preserve">vseslovenske akcije »EU projekt, moj projekt« je </w:t>
            </w:r>
            <w:r w:rsidR="002601B1" w:rsidRPr="00BA2F00">
              <w:rPr>
                <w:iCs/>
                <w:sz w:val="22"/>
              </w:rPr>
              <w:t xml:space="preserve">sodelovalo </w:t>
            </w:r>
            <w:r w:rsidRPr="00BA2F00">
              <w:rPr>
                <w:iCs/>
                <w:sz w:val="22"/>
              </w:rPr>
              <w:t xml:space="preserve">20 projektov, (so)financiranih iz različnih EU sredstev. V ta namen so </w:t>
            </w:r>
            <w:r w:rsidRPr="00BA2F00">
              <w:rPr>
                <w:sz w:val="22"/>
              </w:rPr>
              <w:t>izvedeni dogodki, promovirani</w:t>
            </w:r>
            <w:r w:rsidRPr="00BA2F00">
              <w:rPr>
                <w:i/>
                <w:iCs/>
                <w:sz w:val="22"/>
              </w:rPr>
              <w:t xml:space="preserve"> </w:t>
            </w:r>
            <w:r w:rsidRPr="00BA2F00">
              <w:rPr>
                <w:sz w:val="22"/>
              </w:rPr>
              <w:t>preko tiskanih medijev</w:t>
            </w:r>
            <w:r w:rsidR="00CC5F2D" w:rsidRPr="00BA2F00">
              <w:rPr>
                <w:sz w:val="22"/>
              </w:rPr>
              <w:t xml:space="preserve">, </w:t>
            </w:r>
            <w:r w:rsidRPr="00BA2F00">
              <w:rPr>
                <w:sz w:val="22"/>
              </w:rPr>
              <w:t>spletnih strani</w:t>
            </w:r>
            <w:r w:rsidR="00CC5F2D" w:rsidRPr="00BA2F00">
              <w:rPr>
                <w:sz w:val="22"/>
              </w:rPr>
              <w:t xml:space="preserve">, </w:t>
            </w:r>
            <w:r w:rsidRPr="00BA2F00">
              <w:rPr>
                <w:sz w:val="22"/>
              </w:rPr>
              <w:t xml:space="preserve">socialnih omrežij (Facebook, LinkedIn), radia in televizije - </w:t>
            </w:r>
            <w:r w:rsidRPr="00BA2F00">
              <w:rPr>
                <w:iCs/>
                <w:sz w:val="22"/>
              </w:rPr>
              <w:t xml:space="preserve">z namenom pokazati, kako evropska sredstva dejansko koristijo ljudem. </w:t>
            </w:r>
            <w:r w:rsidR="00A346A8" w:rsidRPr="00BA2F00">
              <w:rPr>
                <w:iCs/>
                <w:sz w:val="22"/>
              </w:rPr>
              <w:t xml:space="preserve">Zanimiv je </w:t>
            </w:r>
            <w:r w:rsidR="002601B1" w:rsidRPr="00BA2F00">
              <w:rPr>
                <w:iCs/>
                <w:sz w:val="22"/>
              </w:rPr>
              <w:t xml:space="preserve">bil </w:t>
            </w:r>
            <w:r w:rsidR="00A346A8" w:rsidRPr="00BA2F00">
              <w:rPr>
                <w:sz w:val="22"/>
              </w:rPr>
              <w:t xml:space="preserve">promocijski nogometni turnir pod sloganom »S športom do strpnosti«. </w:t>
            </w:r>
          </w:p>
          <w:p w14:paraId="5FB63A11" w14:textId="00F461B2" w:rsidR="00C56D53" w:rsidRPr="00BA2F00" w:rsidRDefault="00CC5F2D" w:rsidP="00105A2F">
            <w:pPr>
              <w:autoSpaceDE w:val="0"/>
              <w:autoSpaceDN w:val="0"/>
              <w:adjustRightInd w:val="0"/>
              <w:spacing w:before="240" w:after="0"/>
              <w:rPr>
                <w:sz w:val="22"/>
              </w:rPr>
            </w:pPr>
            <w:r w:rsidRPr="00BA2F00">
              <w:rPr>
                <w:iCs/>
                <w:sz w:val="22"/>
              </w:rPr>
              <w:t xml:space="preserve">Na </w:t>
            </w:r>
            <w:r w:rsidR="00C56D53" w:rsidRPr="00BA2F00">
              <w:rPr>
                <w:iCs/>
                <w:sz w:val="22"/>
              </w:rPr>
              <w:t xml:space="preserve">terenu </w:t>
            </w:r>
            <w:r w:rsidRPr="00BA2F00">
              <w:rPr>
                <w:iCs/>
                <w:sz w:val="22"/>
              </w:rPr>
              <w:t xml:space="preserve">smo </w:t>
            </w:r>
            <w:r w:rsidR="00C56D53" w:rsidRPr="00BA2F00">
              <w:rPr>
                <w:iCs/>
                <w:sz w:val="22"/>
              </w:rPr>
              <w:t>predstavlja</w:t>
            </w:r>
            <w:r w:rsidRPr="00BA2F00">
              <w:rPr>
                <w:iCs/>
                <w:sz w:val="22"/>
              </w:rPr>
              <w:t>li</w:t>
            </w:r>
            <w:r w:rsidR="00C56D53" w:rsidRPr="00BA2F00">
              <w:rPr>
                <w:iCs/>
                <w:sz w:val="22"/>
              </w:rPr>
              <w:t xml:space="preserve"> priložnosti evropskih skladov</w:t>
            </w:r>
            <w:r w:rsidRPr="00BA2F00">
              <w:rPr>
                <w:iCs/>
                <w:sz w:val="22"/>
              </w:rPr>
              <w:t xml:space="preserve"> - Potujoča pisarna</w:t>
            </w:r>
            <w:r w:rsidR="00C56D53" w:rsidRPr="00BA2F00">
              <w:rPr>
                <w:iCs/>
                <w:sz w:val="22"/>
              </w:rPr>
              <w:t>. V okviru treh takšnih dogodkov so bile predstavljene tudi možnosti financiranja iz program</w:t>
            </w:r>
            <w:r w:rsidR="006F12A1" w:rsidRPr="00BA2F00">
              <w:rPr>
                <w:iCs/>
                <w:sz w:val="22"/>
              </w:rPr>
              <w:t>a AMIF.</w:t>
            </w:r>
          </w:p>
          <w:p w14:paraId="1E2D73E7" w14:textId="77777777" w:rsidR="000E349D" w:rsidRPr="00BA2F00" w:rsidRDefault="000E349D" w:rsidP="00105A2F">
            <w:pPr>
              <w:pStyle w:val="Personnequisigne"/>
              <w:jc w:val="both"/>
              <w:rPr>
                <w:i w:val="0"/>
                <w:iCs/>
                <w:sz w:val="22"/>
              </w:rPr>
            </w:pPr>
          </w:p>
          <w:p w14:paraId="57A27290" w14:textId="30F18D62" w:rsidR="000E349D" w:rsidRPr="00BA2F00" w:rsidRDefault="002601B1" w:rsidP="00105A2F">
            <w:pPr>
              <w:pStyle w:val="Personnequisigne"/>
              <w:jc w:val="both"/>
              <w:rPr>
                <w:i w:val="0"/>
                <w:iCs/>
                <w:sz w:val="22"/>
              </w:rPr>
            </w:pPr>
            <w:r w:rsidRPr="00BA2F00">
              <w:rPr>
                <w:i w:val="0"/>
                <w:iCs/>
                <w:sz w:val="22"/>
              </w:rPr>
              <w:t xml:space="preserve">Vsebine delimo na družbenih omrežjih (Facebook, X, LinkedIn). </w:t>
            </w:r>
            <w:r w:rsidR="000E349D" w:rsidRPr="00BA2F00">
              <w:rPr>
                <w:i w:val="0"/>
                <w:iCs/>
                <w:sz w:val="22"/>
              </w:rPr>
              <w:t xml:space="preserve">Aktivnosti upravičencev, ki izvajajo projekte, so vidne tudi na njihovih spletnih straneh in </w:t>
            </w:r>
            <w:r w:rsidR="00CC5F2D" w:rsidRPr="00BA2F00">
              <w:rPr>
                <w:i w:val="0"/>
                <w:iCs/>
                <w:sz w:val="22"/>
              </w:rPr>
              <w:t xml:space="preserve">socialnih omrežjih. </w:t>
            </w:r>
            <w:r w:rsidR="00CC5F2D" w:rsidRPr="00BA2F00">
              <w:rPr>
                <w:i w:val="0"/>
                <w:sz w:val="22"/>
              </w:rPr>
              <w:t>E</w:t>
            </w:r>
            <w:r w:rsidR="000E349D" w:rsidRPr="00BA2F00">
              <w:rPr>
                <w:i w:val="0"/>
                <w:sz w:val="22"/>
              </w:rPr>
              <w:t xml:space="preserve">notni spletni portal </w:t>
            </w:r>
            <w:hyperlink r:id="rId11" w:tgtFrame="_new" w:history="1">
              <w:r w:rsidR="000E349D" w:rsidRPr="00BA2F00">
                <w:rPr>
                  <w:rStyle w:val="Hiperpovezava"/>
                  <w:i w:val="0"/>
                  <w:color w:val="auto"/>
                  <w:sz w:val="22"/>
                </w:rPr>
                <w:t>www.evropskasredstva.si</w:t>
              </w:r>
            </w:hyperlink>
            <w:r w:rsidR="000E349D" w:rsidRPr="00BA2F00">
              <w:rPr>
                <w:i w:val="0"/>
                <w:sz w:val="22"/>
              </w:rPr>
              <w:t>, kjer so zbrane ključne in zanimive informacije o evropskih sredstvih, projektih in priložnostih za sodelovanje</w:t>
            </w:r>
            <w:r w:rsidR="00CC5F2D" w:rsidRPr="00BA2F00">
              <w:rPr>
                <w:i w:val="0"/>
                <w:sz w:val="22"/>
              </w:rPr>
              <w:t>, je dobro obiskan.</w:t>
            </w:r>
          </w:p>
          <w:p w14:paraId="251896FA" w14:textId="77777777" w:rsidR="000E349D" w:rsidRPr="00BA2F00" w:rsidRDefault="000E349D" w:rsidP="00105A2F">
            <w:pPr>
              <w:pStyle w:val="Personnequisigne"/>
              <w:jc w:val="both"/>
              <w:rPr>
                <w:b/>
                <w:i w:val="0"/>
                <w:noProof/>
                <w:sz w:val="22"/>
              </w:rPr>
            </w:pPr>
          </w:p>
          <w:p w14:paraId="4E9DDFCE" w14:textId="452E87B2" w:rsidR="005E28C6" w:rsidRPr="00BA2F00" w:rsidRDefault="005E28C6" w:rsidP="00105A2F">
            <w:pPr>
              <w:pStyle w:val="Personnequisigne"/>
              <w:jc w:val="both"/>
              <w:rPr>
                <w:i w:val="0"/>
                <w:noProof/>
                <w:sz w:val="22"/>
              </w:rPr>
            </w:pPr>
            <w:r w:rsidRPr="00BA2F00">
              <w:rPr>
                <w:b/>
                <w:i w:val="0"/>
                <w:noProof/>
                <w:sz w:val="22"/>
              </w:rPr>
              <w:t>5. Omogočitveni pogoji</w:t>
            </w:r>
            <w:r w:rsidRPr="00BA2F00">
              <w:rPr>
                <w:i w:val="0"/>
                <w:noProof/>
                <w:sz w:val="22"/>
              </w:rPr>
              <w:t xml:space="preserve">: Slovenija </w:t>
            </w:r>
            <w:r w:rsidRPr="00BA2F00">
              <w:rPr>
                <w:i w:val="0"/>
                <w:sz w:val="22"/>
              </w:rPr>
              <w:t>učinkovito implementira horizontalne omogočitvene pogoje »Dejanska uporaba in izvajanje Listine o temeljnih pravicah« ter »Izvajanje in uporaba Konvencije združenih narodov o pravicah invalidov v skladu s Sklepom Sveta 2010/48/ES« v vseh fazah izvajanja programa.</w:t>
            </w:r>
            <w:r w:rsidRPr="00BA2F00">
              <w:rPr>
                <w:i w:val="0"/>
                <w:sz w:val="22"/>
              </w:rPr>
              <w:tab/>
            </w:r>
          </w:p>
          <w:p w14:paraId="5071F16E" w14:textId="199FC80B" w:rsidR="0087657F" w:rsidRPr="00BA2F00" w:rsidRDefault="005E28C6" w:rsidP="00105A2F">
            <w:pPr>
              <w:rPr>
                <w:sz w:val="22"/>
              </w:rPr>
            </w:pPr>
            <w:r w:rsidRPr="00BA2F00">
              <w:rPr>
                <w:b/>
                <w:noProof/>
                <w:sz w:val="22"/>
              </w:rPr>
              <w:t>6. Projekti v tretjih državah</w:t>
            </w:r>
            <w:r w:rsidRPr="00BA2F00">
              <w:rPr>
                <w:noProof/>
                <w:sz w:val="22"/>
              </w:rPr>
              <w:t>: Slovenija v tem obračunskem obdobju ni izvajala ukrepov ali operacij v tretjih državah ali v zvezi z njimi.</w:t>
            </w:r>
          </w:p>
        </w:tc>
      </w:tr>
    </w:tbl>
    <w:p w14:paraId="6A699AE3" w14:textId="77777777" w:rsidR="006A41E2" w:rsidRPr="00BA2F00" w:rsidRDefault="006A41E2" w:rsidP="001E3DE5">
      <w:pPr>
        <w:rPr>
          <w:noProof/>
          <w:sz w:val="22"/>
        </w:rPr>
      </w:pPr>
    </w:p>
    <w:p w14:paraId="7067EBF3" w14:textId="77777777" w:rsidR="00392F13" w:rsidRPr="00BA2F00" w:rsidRDefault="00392F13" w:rsidP="001E3DE5">
      <w:pPr>
        <w:rPr>
          <w:noProof/>
          <w:sz w:val="22"/>
        </w:rPr>
      </w:pPr>
    </w:p>
    <w:sectPr w:rsidR="00392F13" w:rsidRPr="00BA2F00" w:rsidSect="00AF2362">
      <w:footerReference w:type="default" r:id="rId12"/>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4A87" w14:textId="77777777" w:rsidR="00445392" w:rsidRDefault="00445392" w:rsidP="00555224">
      <w:pPr>
        <w:spacing w:before="0" w:after="0"/>
      </w:pPr>
      <w:r>
        <w:separator/>
      </w:r>
    </w:p>
  </w:endnote>
  <w:endnote w:type="continuationSeparator" w:id="0">
    <w:p w14:paraId="0B82A202" w14:textId="77777777" w:rsidR="00445392" w:rsidRDefault="00445392" w:rsidP="00555224">
      <w:pPr>
        <w:spacing w:before="0" w:after="0"/>
      </w:pPr>
      <w:r>
        <w:continuationSeparator/>
      </w:r>
    </w:p>
  </w:endnote>
  <w:endnote w:type="continuationNotice" w:id="1">
    <w:p w14:paraId="37322078" w14:textId="77777777" w:rsidR="00445392" w:rsidRDefault="004453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4651" w14:textId="3CD7C0FC" w:rsidR="00AF2362" w:rsidRPr="00AF2362" w:rsidRDefault="00AF2362" w:rsidP="00AF2362">
    <w:pPr>
      <w:pStyle w:val="Noga"/>
      <w:rPr>
        <w:rFonts w:ascii="Arial" w:hAnsi="Arial" w:cs="Arial"/>
        <w:b/>
        <w:sz w:val="48"/>
      </w:rPr>
    </w:pPr>
    <w:r w:rsidRPr="00AF2362">
      <w:rPr>
        <w:rFonts w:ascii="Arial" w:hAnsi="Arial" w:cs="Arial"/>
        <w:b/>
        <w:sz w:val="48"/>
      </w:rPr>
      <w:t>SL</w:t>
    </w:r>
    <w:r w:rsidRPr="00AF2362">
      <w:rPr>
        <w:rFonts w:ascii="Arial" w:hAnsi="Arial" w:cs="Arial"/>
        <w:b/>
        <w:sz w:val="48"/>
      </w:rPr>
      <w:tab/>
    </w:r>
    <w:r>
      <w:fldChar w:fldCharType="begin"/>
    </w:r>
    <w:r>
      <w:instrText xml:space="preserve"> PAGE  \* MERGEFORMAT </w:instrText>
    </w:r>
    <w:r>
      <w:fldChar w:fldCharType="separate"/>
    </w:r>
    <w:r w:rsidR="00F92DC6">
      <w:rPr>
        <w:noProof/>
      </w:rPr>
      <w:t>18</w:t>
    </w:r>
    <w:r>
      <w:fldChar w:fldCharType="end"/>
    </w:r>
    <w:r>
      <w:tab/>
    </w:r>
    <w:r w:rsidRPr="00AF2362">
      <w:tab/>
    </w:r>
    <w:r w:rsidRPr="00AF2362">
      <w:rPr>
        <w:rFonts w:ascii="Arial" w:hAnsi="Arial" w:cs="Arial"/>
        <w:b/>
        <w:sz w:val="48"/>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A360" w14:textId="77777777" w:rsidR="00445392" w:rsidRDefault="00445392" w:rsidP="00555224">
      <w:pPr>
        <w:spacing w:before="0" w:after="0"/>
      </w:pPr>
      <w:r>
        <w:separator/>
      </w:r>
    </w:p>
  </w:footnote>
  <w:footnote w:type="continuationSeparator" w:id="0">
    <w:p w14:paraId="0798F077" w14:textId="77777777" w:rsidR="00445392" w:rsidRDefault="00445392" w:rsidP="00555224">
      <w:pPr>
        <w:spacing w:before="0" w:after="0"/>
      </w:pPr>
      <w:r>
        <w:continuationSeparator/>
      </w:r>
    </w:p>
  </w:footnote>
  <w:footnote w:type="continuationNotice" w:id="1">
    <w:p w14:paraId="6C8E969D" w14:textId="77777777" w:rsidR="00445392" w:rsidRDefault="00445392">
      <w:pPr>
        <w:spacing w:before="0" w:after="0"/>
      </w:pPr>
    </w:p>
  </w:footnote>
  <w:footnote w:id="2">
    <w:p w14:paraId="18504BB1" w14:textId="77777777" w:rsidR="00620009" w:rsidRPr="00515026" w:rsidRDefault="00620009">
      <w:pPr>
        <w:pStyle w:val="Sprotnaopomba-besedilo"/>
      </w:pPr>
      <w:r>
        <w:rPr>
          <w:rStyle w:val="Sprotnaopomba-sklic"/>
        </w:rPr>
        <w:footnoteRef/>
      </w:r>
      <w:r>
        <w:tab/>
      </w:r>
      <w:r>
        <w:rPr>
          <w:sz w:val="18"/>
        </w:rPr>
        <w:t>To se nanaša na stanje, v katerem obstaja vrzel med nominalno stopnjo doseganja ciljev, merjeno s kazalniki, in dejanskim napredkom pri izvajanju. Do nezadostnega poročanja o učinku in rezultatih bi lahko prišlo na primer zaradi težav v zvezi z razvojem sistema IT, tekočih operacij, za katere učinek in rezultati še niso sporočeni, težav v zvezi z zbiranjem podatkov, ki povzročajo počasno ali nepopolno poročanje, itd.</w:t>
      </w:r>
    </w:p>
  </w:footnote>
  <w:footnote w:id="3">
    <w:p w14:paraId="5B748B6F" w14:textId="77777777" w:rsidR="00620009" w:rsidRPr="00515026" w:rsidRDefault="00620009">
      <w:pPr>
        <w:pStyle w:val="Sprotnaopomba-besedilo"/>
      </w:pPr>
      <w:r>
        <w:rPr>
          <w:rStyle w:val="Sprotnaopomba-sklic"/>
        </w:rPr>
        <w:footnoteRef/>
      </w:r>
      <w:r>
        <w:tab/>
      </w:r>
      <w:r>
        <w:rPr>
          <w:sz w:val="18"/>
        </w:rPr>
        <w:t>To se nanaša na stanje, v katerem nizka stopnja doseganja ciljev ni posledica počasnega napredka, temveč nepravilnega ali nerealističnega določanja ciljev. Vključuje lahko izkušnje, pridobljene v zvezi z določitvijo metodologije za določanje ciljev – kot so napačne ali nepopolne predpostavke ali težave z izbranimi referenčnimi vrednostmi – in vsemi načrtovanimi spremembami te metodologije.</w:t>
      </w:r>
    </w:p>
  </w:footnote>
  <w:footnote w:id="4">
    <w:p w14:paraId="2115FBC4" w14:textId="77777777" w:rsidR="00620009" w:rsidRPr="00515026" w:rsidRDefault="00620009">
      <w:pPr>
        <w:pStyle w:val="Sprotnaopomba-besedilo"/>
      </w:pPr>
      <w:r>
        <w:rPr>
          <w:rStyle w:val="Sprotnaopomba-sklic"/>
        </w:rPr>
        <w:footnoteRef/>
      </w:r>
      <w:r>
        <w:tab/>
      </w:r>
      <w:r>
        <w:rPr>
          <w:sz w:val="18"/>
        </w:rPr>
        <w:t>Na primer vprašanja v zvezi z razpisnimi postopki, vprašanja v zvezi z revizijskimi postopki, vprašanja, povezana s pomanjkanjem sredstev na ravni organa upravljanja, nepredvidena zamuda pri sprejetju programa itd.</w:t>
      </w:r>
    </w:p>
  </w:footnote>
  <w:footnote w:id="5">
    <w:p w14:paraId="63684AE5" w14:textId="77777777" w:rsidR="00620009" w:rsidRPr="00515026" w:rsidRDefault="00620009">
      <w:pPr>
        <w:pStyle w:val="Sprotnaopomba-besedilo"/>
      </w:pPr>
      <w:r>
        <w:rPr>
          <w:rStyle w:val="Sprotnaopomba-sklic"/>
        </w:rPr>
        <w:footnoteRef/>
      </w:r>
      <w:r>
        <w:tab/>
      </w:r>
      <w:r>
        <w:rPr>
          <w:sz w:val="18"/>
        </w:rPr>
        <w:t>To lahko na primer vključuje socialno-ekonomske ali politične dejavnike, spremembe regulativnega okvira itd.</w:t>
      </w:r>
    </w:p>
  </w:footnote>
  <w:footnote w:id="6">
    <w:p w14:paraId="330E11FA" w14:textId="77777777" w:rsidR="00620009" w:rsidRPr="00515026" w:rsidRDefault="00620009">
      <w:pPr>
        <w:pStyle w:val="Sprotnaopomba-besedilo"/>
      </w:pPr>
      <w:r>
        <w:rPr>
          <w:rStyle w:val="Sprotnaopomba-sklic"/>
        </w:rPr>
        <w:footnoteRef/>
      </w:r>
      <w:r>
        <w:tab/>
      </w:r>
      <w:r>
        <w:rPr>
          <w:sz w:val="18"/>
        </w:rPr>
        <w:t xml:space="preserve">Na primer težave v zvezi s področjem uporabe ukrepa (npr. merila za upravičenost), majhno zanimanje upravičencev ali udeležencev, kakršno koli odstopanje pri izvajanju ukrepa itd. </w:t>
      </w:r>
    </w:p>
  </w:footnote>
  <w:footnote w:id="7">
    <w:p w14:paraId="3DD4750B" w14:textId="77777777" w:rsidR="00CD67EB" w:rsidRPr="00CD67EB" w:rsidRDefault="00CD67EB">
      <w:pPr>
        <w:pStyle w:val="Sprotnaopomba-besedilo"/>
      </w:pPr>
      <w:r>
        <w:rPr>
          <w:rStyle w:val="Sprotnaopomba-sklic"/>
        </w:rPr>
        <w:footnoteRef/>
      </w:r>
      <w:r>
        <w:tab/>
      </w:r>
      <w:r>
        <w:rPr>
          <w:sz w:val="18"/>
        </w:rPr>
        <w:t>Če je to ustrezno za ta namen, navedite informacije, ki spadajo na področje uporabe Uredbe (EU) 2021/1147 in so na voljo na podlagi schengenskih ocenjevanj, opravljenih v skladu z Uredbo Sveta (EU) št. 1053/2013 z dne 7. oktobra 2013 o vzpostavitvi ocenjevalnega in spremljevalnega mehanizma za preverjanje uporabe schengenskega pravnega reda in razveljavitvi Sklepa Izvršnega odbora z dne 16. septembra 1998 o ustanovitvi stalnega odbora o ocenjevanju in izvajanju Schengenskega sporazuma (UL L 295, 6.11.2013, str. 27) ter Uredbo Sveta (EU) 2022/922 z dne 9. junija 2022 o vzpostavitvi in delovanju ocenjevalnega in spremljevalnega mehanizma za preverjanje uporabe schengenskega pravnega reda in razveljavitvi Uredbe (EU) št. 1053/2013 (UL L 160, 15.6.2022, str. 1).</w:t>
      </w:r>
    </w:p>
  </w:footnote>
  <w:footnote w:id="8">
    <w:p w14:paraId="1A9AFCF1" w14:textId="77777777" w:rsidR="00620009" w:rsidRPr="0037290B" w:rsidRDefault="00620009">
      <w:pPr>
        <w:pStyle w:val="Sprotnaopomba-besedilo"/>
      </w:pPr>
      <w:r>
        <w:rPr>
          <w:rStyle w:val="Sprotnaopomba-sklic"/>
        </w:rPr>
        <w:footnoteRef/>
      </w:r>
      <w:r>
        <w:tab/>
      </w:r>
      <w:r>
        <w:rPr>
          <w:sz w:val="18"/>
        </w:rPr>
        <w:t>V primeru posebnih ukrepov nadnacionalne narave se področje uporabe tega oddelka razlikuje glede na porazdelitev vlog in odgovornosti med vodilnimi državami članicami in drugimi sodelujočimi državami članicami ter glede na izbiro uporabljene metode poročanja. To je opisano v obvestilu Komisije z dne 14. februarja 2022 – Nadnacionalni posebni ukrepi v okviru Sklada za azil, migracije in vključevanje, Instrumenta za finančno podporo za upravljanje meja in vizumsko politiko ter Sklada za notranjo varnost – ureditve med partnerji (Ares (2022)1060102).</w:t>
      </w:r>
    </w:p>
  </w:footnote>
  <w:footnote w:id="9">
    <w:p w14:paraId="46E66A24" w14:textId="77777777" w:rsidR="00620009" w:rsidRPr="007027D4" w:rsidRDefault="00620009">
      <w:pPr>
        <w:pStyle w:val="Sprotnaopomba-besedilo"/>
      </w:pPr>
      <w:r>
        <w:rPr>
          <w:rStyle w:val="Sprotnaopomba-sklic"/>
        </w:rPr>
        <w:footnoteRef/>
      </w:r>
      <w:r>
        <w:tab/>
      </w:r>
      <w:r>
        <w:rPr>
          <w:sz w:val="18"/>
        </w:rPr>
        <w:t xml:space="preserve">Dodana vrednost Unije je opredeljena kot ustvarjanje rezultatov, ki presegajo tisto, kar bi države članice dosegle same. </w:t>
      </w:r>
    </w:p>
  </w:footnote>
  <w:footnote w:id="10">
    <w:p w14:paraId="1082B096" w14:textId="77777777" w:rsidR="00620009" w:rsidRPr="007027D4" w:rsidRDefault="00620009">
      <w:pPr>
        <w:pStyle w:val="Sprotnaopomba-besedilo"/>
        <w:rPr>
          <w:sz w:val="18"/>
        </w:rPr>
      </w:pPr>
      <w:r>
        <w:rPr>
          <w:rStyle w:val="Sprotnaopomba-sklic"/>
        </w:rPr>
        <w:footnoteRef/>
      </w:r>
      <w:r>
        <w:tab/>
      </w:r>
      <w:r>
        <w:rPr>
          <w:sz w:val="18"/>
        </w:rPr>
        <w:t>Na primer v zvezi z dejavnostmi javnega naročanja ali drugimi sprejetimi pripravljalnimi ukrepi.</w:t>
      </w:r>
    </w:p>
  </w:footnote>
  <w:footnote w:id="11">
    <w:p w14:paraId="00BD253D" w14:textId="77777777" w:rsidR="00620009" w:rsidRPr="007027D4" w:rsidRDefault="00620009">
      <w:pPr>
        <w:pStyle w:val="Sprotnaopomba-besedilo"/>
      </w:pPr>
      <w:r>
        <w:rPr>
          <w:rStyle w:val="Sprotnaopomba-sklic"/>
        </w:rPr>
        <w:footnoteRef/>
      </w:r>
      <w:r>
        <w:tab/>
      </w:r>
      <w:r>
        <w:rPr>
          <w:sz w:val="18"/>
        </w:rPr>
        <w:t>Na primer v smislu dosežkov, učinkov, rezultatov itd.</w:t>
      </w:r>
    </w:p>
  </w:footnote>
  <w:footnote w:id="12">
    <w:p w14:paraId="734A5838" w14:textId="77777777" w:rsidR="00620009" w:rsidRPr="00515026" w:rsidRDefault="00620009">
      <w:pPr>
        <w:pStyle w:val="Sprotnaopomba-besedilo"/>
        <w:rPr>
          <w:sz w:val="18"/>
        </w:rPr>
      </w:pPr>
      <w:r>
        <w:rPr>
          <w:rStyle w:val="Sprotnaopomba-sklic"/>
        </w:rPr>
        <w:footnoteRef/>
      </w:r>
      <w:r>
        <w:tab/>
      </w:r>
      <w:r>
        <w:rPr>
          <w:sz w:val="18"/>
        </w:rPr>
        <w:t>Kot je navedeno v obvestilu Komisije z dne 14. februarja 2022 (Ares (2022)1060102).</w:t>
      </w:r>
    </w:p>
  </w:footnote>
  <w:footnote w:id="13">
    <w:p w14:paraId="06274BFE" w14:textId="77777777" w:rsidR="00620009" w:rsidRPr="00515026" w:rsidRDefault="00620009">
      <w:pPr>
        <w:pStyle w:val="Sprotnaopomba-besedilo"/>
        <w:rPr>
          <w:sz w:val="18"/>
        </w:rPr>
      </w:pPr>
      <w:r>
        <w:rPr>
          <w:rStyle w:val="Sprotnaopomba-sklic"/>
        </w:rPr>
        <w:footnoteRef/>
      </w:r>
      <w:r>
        <w:tab/>
      </w:r>
      <w:r>
        <w:rPr>
          <w:sz w:val="18"/>
        </w:rPr>
        <w:t>Skupni upravičeni stroški izbranih operacij, kot so bili sporočeni Komisiji do 31. julija zadnjega obračunskega leta.</w:t>
      </w:r>
    </w:p>
  </w:footnote>
  <w:footnote w:id="14">
    <w:p w14:paraId="2C9B00A7" w14:textId="77777777" w:rsidR="00620009" w:rsidRPr="0037290B" w:rsidRDefault="00620009">
      <w:pPr>
        <w:pStyle w:val="Sprotnaopomba-besedilo"/>
      </w:pPr>
      <w:r>
        <w:rPr>
          <w:rStyle w:val="Sprotnaopomba-sklic"/>
        </w:rPr>
        <w:footnoteRef/>
      </w:r>
      <w:r>
        <w:tab/>
      </w:r>
      <w:r>
        <w:rPr>
          <w:sz w:val="18"/>
        </w:rPr>
        <w:t>Skupni znesek upravičenih izdatkov, ki jih upravičenci prijavijo organu upravljanja, do 31. julija zadnjega obračunskega leta.</w:t>
      </w:r>
    </w:p>
  </w:footnote>
  <w:footnote w:id="15">
    <w:p w14:paraId="5174D50B" w14:textId="77777777" w:rsidR="00620009" w:rsidRPr="0037290B" w:rsidRDefault="00620009">
      <w:pPr>
        <w:pStyle w:val="Sprotnaopomba-besedilo"/>
      </w:pPr>
      <w:r>
        <w:rPr>
          <w:rStyle w:val="Sprotnaopomba-sklic"/>
        </w:rPr>
        <w:footnoteRef/>
      </w:r>
      <w:r>
        <w:tab/>
      </w:r>
      <w:r>
        <w:rPr>
          <w:sz w:val="18"/>
        </w:rPr>
        <w:t>Če posebni ukrepi pomenijo dodatek k prejšnjim operacijam in ni posebne ureditve spremljanja, o učinku in rezultatih poročajte sorazmerno.</w:t>
      </w:r>
    </w:p>
  </w:footnote>
  <w:footnote w:id="16">
    <w:p w14:paraId="0A1DE0B0" w14:textId="77777777" w:rsidR="00620009" w:rsidRPr="00202C38" w:rsidRDefault="00620009">
      <w:pPr>
        <w:pStyle w:val="Sprotnaopomba-besedilo"/>
      </w:pPr>
      <w:r>
        <w:rPr>
          <w:rStyle w:val="Sprotnaopomba-sklic"/>
        </w:rPr>
        <w:footnoteRef/>
      </w:r>
      <w:r>
        <w:tab/>
      </w:r>
      <w:r>
        <w:rPr>
          <w:sz w:val="18"/>
        </w:rPr>
        <w:t>Uredba (EU) št. 516/2014 Evropskega parlamenta in Sveta z dne 16. aprila 2014 o ustanovitvi Sklada za azil, migracije in vključevanje, o spremembi Odločbe Sveta 2008/381/ES in razveljavitvi odločb št. 573/2007/ES in št. 575/2007/ES Evropskega parlamenta in Sveta ter Odločbe Sveta 2007/435/ES (UL L 150, 20.5.2014, str. 168).</w:t>
      </w:r>
    </w:p>
  </w:footnote>
  <w:footnote w:id="17">
    <w:p w14:paraId="374183AC" w14:textId="77777777" w:rsidR="00620009" w:rsidRPr="007027D4" w:rsidRDefault="00620009">
      <w:pPr>
        <w:pStyle w:val="Sprotnaopomba-besedilo"/>
        <w:rPr>
          <w:sz w:val="18"/>
          <w:szCs w:val="18"/>
        </w:rPr>
      </w:pPr>
      <w:r>
        <w:rPr>
          <w:rStyle w:val="Sprotnaopomba-sklic"/>
        </w:rPr>
        <w:footnoteRef/>
      </w:r>
      <w:r>
        <w:tab/>
      </w:r>
      <w:r>
        <w:rPr>
          <w:color w:val="333333"/>
          <w:sz w:val="18"/>
          <w:shd w:val="clear" w:color="auto" w:fill="FFFFFF"/>
        </w:rPr>
        <w:t xml:space="preserve">Uredba (EU) št. 514/2014 Evropskega parlamenta in Sveta z dne 16. aprila 2014 o splošnih določbah o Skladu za migracije, azil in vključevanje ter o instrumentu za finančno podporo na področju policijskega sodelovanja, preprečevanja kriminala in boja proti njemu ter obvladovanja kriz (UL L 150, </w:t>
      </w:r>
      <w:r>
        <w:rPr>
          <w:sz w:val="18"/>
        </w:rPr>
        <w:t>20.5.2014, str. 112).</w:t>
      </w:r>
    </w:p>
  </w:footnote>
  <w:footnote w:id="18">
    <w:p w14:paraId="67653F1D" w14:textId="77777777" w:rsidR="00620009" w:rsidRPr="007027D4" w:rsidRDefault="00620009">
      <w:pPr>
        <w:pStyle w:val="Sprotnaopomba-besedilo"/>
      </w:pPr>
      <w:r>
        <w:rPr>
          <w:rStyle w:val="Sprotnaopomba-sklic"/>
        </w:rPr>
        <w:footnoteRef/>
      </w:r>
      <w:r>
        <w:tab/>
      </w:r>
      <w:r>
        <w:rPr>
          <w:sz w:val="18"/>
        </w:rPr>
        <w:t xml:space="preserve">Zlasti instrument za sosedstvo ter razvojno in mednarodno sodelovanje (NDICI) – Globalna Evropa in instrument za predpristopno pomoč (IPA). </w:t>
      </w:r>
    </w:p>
  </w:footnote>
  <w:footnote w:id="19">
    <w:p w14:paraId="32332F60" w14:textId="77777777" w:rsidR="00620009" w:rsidRPr="0037290B" w:rsidRDefault="00620009" w:rsidP="00532177">
      <w:pPr>
        <w:pStyle w:val="Sprotnaopomba-besedilo"/>
      </w:pPr>
      <w:r>
        <w:rPr>
          <w:rStyle w:val="Sprotnaopomba-sklic"/>
        </w:rPr>
        <w:footnoteRef/>
      </w:r>
      <w:r>
        <w:tab/>
      </w:r>
      <w:r>
        <w:rPr>
          <w:sz w:val="18"/>
        </w:rPr>
        <w:t>Pomembno bi lahko bilo tudi dopolnjevanje z drugimi ustreznimi skladi EU (npr. mehanizem za okrevanje in odpornost, Erasmus+, Ustvarjalna Evropa, Kohezijski sklad, Sklad za pravični prehod itd.).</w:t>
      </w:r>
    </w:p>
  </w:footnote>
  <w:footnote w:id="20">
    <w:p w14:paraId="70AD48AB" w14:textId="77777777" w:rsidR="00B66713" w:rsidRPr="007027D4" w:rsidRDefault="00B66713" w:rsidP="00B66713">
      <w:pPr>
        <w:pStyle w:val="Sprotnaopomba-besedilo"/>
      </w:pPr>
      <w:r>
        <w:rPr>
          <w:rStyle w:val="Sprotnaopomba-sklic"/>
        </w:rPr>
        <w:footnoteRef/>
      </w:r>
      <w:r>
        <w:tab/>
      </w:r>
      <w:r>
        <w:rPr>
          <w:sz w:val="18"/>
        </w:rPr>
        <w:t>Kot je sodelovanje na ravni EU med državami članicami ter med državami članicami in ustreznimi organi, uradi in agencijami EU ter sodelovanje na nacionalni ravni med pristojnimi organi v vsaki državi članici.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9E2164A"/>
    <w:lvl w:ilvl="0">
      <w:start w:val="1"/>
      <w:numFmt w:val="decimal"/>
      <w:pStyle w:val="Otevilenseznam4"/>
      <w:lvlText w:val="%1."/>
      <w:lvlJc w:val="left"/>
      <w:pPr>
        <w:tabs>
          <w:tab w:val="num" w:pos="1209"/>
        </w:tabs>
        <w:ind w:left="1209" w:hanging="360"/>
      </w:pPr>
    </w:lvl>
  </w:abstractNum>
  <w:abstractNum w:abstractNumId="1" w15:restartNumberingAfterBreak="0">
    <w:nsid w:val="FFFFFF7E"/>
    <w:multiLevelType w:val="singleLevel"/>
    <w:tmpl w:val="E7F42C28"/>
    <w:lvl w:ilvl="0">
      <w:start w:val="1"/>
      <w:numFmt w:val="decimal"/>
      <w:pStyle w:val="Otevilenseznam3"/>
      <w:lvlText w:val="%1."/>
      <w:lvlJc w:val="left"/>
      <w:pPr>
        <w:tabs>
          <w:tab w:val="num" w:pos="926"/>
        </w:tabs>
        <w:ind w:left="926" w:hanging="360"/>
      </w:pPr>
    </w:lvl>
  </w:abstractNum>
  <w:abstractNum w:abstractNumId="2" w15:restartNumberingAfterBreak="0">
    <w:nsid w:val="FFFFFF7F"/>
    <w:multiLevelType w:val="singleLevel"/>
    <w:tmpl w:val="1C34734A"/>
    <w:lvl w:ilvl="0">
      <w:start w:val="1"/>
      <w:numFmt w:val="decimal"/>
      <w:pStyle w:val="Otevilenseznam2"/>
      <w:lvlText w:val="%1."/>
      <w:lvlJc w:val="left"/>
      <w:pPr>
        <w:tabs>
          <w:tab w:val="num" w:pos="643"/>
        </w:tabs>
        <w:ind w:left="643" w:hanging="360"/>
      </w:pPr>
    </w:lvl>
  </w:abstractNum>
  <w:abstractNum w:abstractNumId="3" w15:restartNumberingAfterBreak="0">
    <w:nsid w:val="FFFFFF81"/>
    <w:multiLevelType w:val="singleLevel"/>
    <w:tmpl w:val="E1F03B04"/>
    <w:lvl w:ilvl="0">
      <w:start w:val="1"/>
      <w:numFmt w:val="bullet"/>
      <w:pStyle w:val="Oznaenseznam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4411D4"/>
    <w:lvl w:ilvl="0">
      <w:start w:val="1"/>
      <w:numFmt w:val="bullet"/>
      <w:pStyle w:val="Oznaenseznam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17051A2"/>
    <w:lvl w:ilvl="0">
      <w:start w:val="1"/>
      <w:numFmt w:val="bullet"/>
      <w:pStyle w:val="Oznaenseznam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B43B32"/>
    <w:lvl w:ilvl="0">
      <w:start w:val="1"/>
      <w:numFmt w:val="decimal"/>
      <w:pStyle w:val="Otevilenseznam"/>
      <w:lvlText w:val="%1."/>
      <w:lvlJc w:val="left"/>
      <w:pPr>
        <w:tabs>
          <w:tab w:val="num" w:pos="360"/>
        </w:tabs>
        <w:ind w:left="360" w:hanging="360"/>
      </w:pPr>
    </w:lvl>
  </w:abstractNum>
  <w:abstractNum w:abstractNumId="7" w15:restartNumberingAfterBreak="0">
    <w:nsid w:val="FFFFFF89"/>
    <w:multiLevelType w:val="singleLevel"/>
    <w:tmpl w:val="9F7CFE3E"/>
    <w:lvl w:ilvl="0">
      <w:start w:val="1"/>
      <w:numFmt w:val="bullet"/>
      <w:pStyle w:val="Oznaenseznam"/>
      <w:lvlText w:val=""/>
      <w:lvlJc w:val="left"/>
      <w:pPr>
        <w:tabs>
          <w:tab w:val="num" w:pos="360"/>
        </w:tabs>
        <w:ind w:left="360" w:hanging="360"/>
      </w:pPr>
      <w:rPr>
        <w:rFonts w:ascii="Symbol" w:hAnsi="Symbol" w:hint="default"/>
      </w:rPr>
    </w:lvl>
  </w:abstractNum>
  <w:abstractNum w:abstractNumId="8" w15:restartNumberingAfterBreak="0">
    <w:nsid w:val="09750AD8"/>
    <w:multiLevelType w:val="hybridMultilevel"/>
    <w:tmpl w:val="65B2C60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E145088"/>
    <w:multiLevelType w:val="hybridMultilevel"/>
    <w:tmpl w:val="E82ED60C"/>
    <w:lvl w:ilvl="0" w:tplc="0424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72634A"/>
    <w:multiLevelType w:val="hybridMultilevel"/>
    <w:tmpl w:val="A56A3B6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386F61"/>
    <w:multiLevelType w:val="hybridMultilevel"/>
    <w:tmpl w:val="46CA3CD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15:restartNumberingAfterBreak="0">
    <w:nsid w:val="3D356965"/>
    <w:multiLevelType w:val="hybridMultilevel"/>
    <w:tmpl w:val="2C38DBC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name w:val="Heading"/>
    <w:lvl w:ilvl="0">
      <w:start w:val="1"/>
      <w:numFmt w:val="decimal"/>
      <w:lvlRestart w:val="0"/>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decimal"/>
      <w:pStyle w:val="Naslov5"/>
      <w:lvlText w:val="%1.%2.%3.%4.%5."/>
      <w:lvlJc w:val="left"/>
      <w:pPr>
        <w:tabs>
          <w:tab w:val="num" w:pos="1417"/>
        </w:tabs>
        <w:ind w:left="1417" w:hanging="1417"/>
      </w:pPr>
    </w:lvl>
    <w:lvl w:ilvl="5">
      <w:start w:val="1"/>
      <w:numFmt w:val="decimal"/>
      <w:pStyle w:val="Naslov6"/>
      <w:lvlText w:val="%1.%2.%3.%4.%5.%6."/>
      <w:lvlJc w:val="left"/>
      <w:pPr>
        <w:tabs>
          <w:tab w:val="num" w:pos="1417"/>
        </w:tabs>
        <w:ind w:left="1417" w:hanging="1417"/>
      </w:pPr>
    </w:lvl>
    <w:lvl w:ilvl="6">
      <w:start w:val="1"/>
      <w:numFmt w:val="decimal"/>
      <w:pStyle w:val="Naslov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03A2821"/>
    <w:multiLevelType w:val="hybridMultilevel"/>
    <w:tmpl w:val="559E169E"/>
    <w:lvl w:ilvl="0" w:tplc="0424000D">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CA6144"/>
    <w:multiLevelType w:val="hybridMultilevel"/>
    <w:tmpl w:val="C0EE1CB6"/>
    <w:lvl w:ilvl="0" w:tplc="0424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15:restartNumberingAfterBreak="0">
    <w:nsid w:val="7EA3135E"/>
    <w:multiLevelType w:val="hybridMultilevel"/>
    <w:tmpl w:val="5D74C296"/>
    <w:lvl w:ilvl="0" w:tplc="0424000D">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86399407">
    <w:abstractNumId w:val="7"/>
  </w:num>
  <w:num w:numId="2" w16cid:durableId="1751387648">
    <w:abstractNumId w:val="5"/>
  </w:num>
  <w:num w:numId="3" w16cid:durableId="912423502">
    <w:abstractNumId w:val="4"/>
  </w:num>
  <w:num w:numId="4" w16cid:durableId="812260211">
    <w:abstractNumId w:val="3"/>
  </w:num>
  <w:num w:numId="5" w16cid:durableId="1138885131">
    <w:abstractNumId w:val="6"/>
  </w:num>
  <w:num w:numId="6" w16cid:durableId="584539472">
    <w:abstractNumId w:val="2"/>
  </w:num>
  <w:num w:numId="7" w16cid:durableId="605233504">
    <w:abstractNumId w:val="1"/>
  </w:num>
  <w:num w:numId="8" w16cid:durableId="319191909">
    <w:abstractNumId w:val="0"/>
  </w:num>
  <w:num w:numId="9" w16cid:durableId="669143511">
    <w:abstractNumId w:val="24"/>
    <w:lvlOverride w:ilvl="0">
      <w:startOverride w:val="1"/>
    </w:lvlOverride>
  </w:num>
  <w:num w:numId="10" w16cid:durableId="1756131074">
    <w:abstractNumId w:val="24"/>
    <w:lvlOverride w:ilvl="0">
      <w:startOverride w:val="1"/>
    </w:lvlOverride>
  </w:num>
  <w:num w:numId="11" w16cid:durableId="361639750">
    <w:abstractNumId w:val="24"/>
  </w:num>
  <w:num w:numId="12" w16cid:durableId="1904103169">
    <w:abstractNumId w:val="17"/>
  </w:num>
  <w:num w:numId="13" w16cid:durableId="2059207818">
    <w:abstractNumId w:val="26"/>
  </w:num>
  <w:num w:numId="14" w16cid:durableId="1025248566">
    <w:abstractNumId w:val="15"/>
  </w:num>
  <w:num w:numId="15" w16cid:durableId="1989281160">
    <w:abstractNumId w:val="18"/>
  </w:num>
  <w:num w:numId="16" w16cid:durableId="1714573948">
    <w:abstractNumId w:val="19"/>
  </w:num>
  <w:num w:numId="17" w16cid:durableId="1352957201">
    <w:abstractNumId w:val="12"/>
  </w:num>
  <w:num w:numId="18" w16cid:durableId="1279331854">
    <w:abstractNumId w:val="25"/>
  </w:num>
  <w:num w:numId="19" w16cid:durableId="2034190083">
    <w:abstractNumId w:val="11"/>
  </w:num>
  <w:num w:numId="20" w16cid:durableId="225188943">
    <w:abstractNumId w:val="20"/>
  </w:num>
  <w:num w:numId="21" w16cid:durableId="490096411">
    <w:abstractNumId w:val="22"/>
  </w:num>
  <w:num w:numId="22" w16cid:durableId="2125079850">
    <w:abstractNumId w:val="23"/>
  </w:num>
  <w:num w:numId="23" w16cid:durableId="1285959556">
    <w:abstractNumId w:val="14"/>
  </w:num>
  <w:num w:numId="24" w16cid:durableId="431357973">
    <w:abstractNumId w:val="21"/>
  </w:num>
  <w:num w:numId="25" w16cid:durableId="1640769482">
    <w:abstractNumId w:val="29"/>
  </w:num>
  <w:num w:numId="26" w16cid:durableId="613172904">
    <w:abstractNumId w:val="27"/>
  </w:num>
  <w:num w:numId="27" w16cid:durableId="1912960102">
    <w:abstractNumId w:val="16"/>
  </w:num>
  <w:num w:numId="28" w16cid:durableId="363136683">
    <w:abstractNumId w:val="10"/>
  </w:num>
  <w:num w:numId="29" w16cid:durableId="1873420903">
    <w:abstractNumId w:val="8"/>
  </w:num>
  <w:num w:numId="30" w16cid:durableId="709961292">
    <w:abstractNumId w:val="9"/>
  </w:num>
  <w:num w:numId="31" w16cid:durableId="823542492">
    <w:abstractNumId w:val="30"/>
  </w:num>
  <w:num w:numId="32" w16cid:durableId="1445004138">
    <w:abstractNumId w:val="13"/>
  </w:num>
  <w:num w:numId="33" w16cid:durableId="1144200429">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it-IT" w:vendorID="64" w:dllVersion="6" w:nlCheck="1" w:checkStyle="0"/>
  <w:activeWritingStyle w:appName="MSWord" w:lang="en-IE" w:vendorID="64" w:dllVersion="4096" w:nlCheck="1" w:checkStyle="0"/>
  <w:activeWritingStyle w:appName="MSWord" w:lang="en-US" w:vendorID="64" w:dllVersion="4096" w:nlCheck="1" w:checkStyle="0"/>
  <w:proofState w:spelling="clean" w:grammar="clean"/>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QCDateTime" w:val="2023-01-17 12:46: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k"/>
    <w:docVar w:name="LW_ACCOMPAGNANT.CP" w:val="k"/>
    <w:docVar w:name="LW_ANNEX_NBR_FIRST" w:val="1"/>
    <w:docVar w:name="LW_ANNEX_NBR_LAST" w:val="1"/>
    <w:docVar w:name="LW_ANNEX_UNIQUE" w:val="1"/>
    <w:docVar w:name="LW_CORRIGENDUM" w:val="&lt;UNUSED&gt;"/>
    <w:docVar w:name="LW_COVERPAGE_EXISTS" w:val="True"/>
    <w:docVar w:name="LW_COVERPAGE_GUID" w:val="7D2B7355-191C-4318-AE34-19CEA0EA2976"/>
    <w:docVar w:name="LW_COVERPAGE_TYPE" w:val="1"/>
    <w:docVar w:name="LW_CROSSREFERENCE" w:val="&lt;UNUSED&gt;"/>
    <w:docVar w:name="LW_DocType" w:val="ANNEX"/>
    <w:docVar w:name="LW_EMISSION" w:val="25.1.2023"/>
    <w:docVar w:name="LW_EMISSION_ISODATE" w:val="2023-01-25"/>
    <w:docVar w:name="LW_EMISSION_LOCATION" w:val="BRX"/>
    <w:docVar w:name="LW_EMISSION_PREFIX" w:val="Bruselj, "/>
    <w:docVar w:name="LW_EMISSION_SUFFIX" w:val=" "/>
    <w:docVar w:name="LW_ID_DOCSTRUCTURE" w:val="COM/ANNEX"/>
    <w:docVar w:name="LW_ID_DOCTYPE" w:val="SG-068"/>
    <w:docVar w:name="LW_LANGUE" w:val="SL"/>
    <w:docVar w:name="LW_LEVEL_OF_SENSITIVITY" w:val="Standard treatment"/>
    <w:docVar w:name="LW_NOM.INST" w:val="EVROPSKA KOMISIJA"/>
    <w:docVar w:name="LW_NOM.INST_JOINTDOC" w:val="&lt;EMPTY&gt;"/>
    <w:docVar w:name="LW_OBJETACTEPRINCIPAL" w:val="o dolo\u269?itvi predloge za letna poro\u269?ila o smotrnosti Sklada za azil, migracije in vklju\u269?evanje za programsko obdobje 2021\u8211?2027 v skladu z Uredbo (EU) 2021/1147"/>
    <w:docVar w:name="LW_OBJETACTEPRINCIPAL.CP" w:val="o določitvi predloge za letna poročila o smotrnosti Sklada za azil, migracije in vključevanje za programsko obdobje 2021–2027 v skladu z Uredbo (EU) 2021/1147"/>
    <w:docVar w:name="LW_PART_NBR" w:val="1"/>
    <w:docVar w:name="LW_PART_NBR_TOTAL" w:val="1"/>
    <w:docVar w:name="LW_REF.INST.NEW" w:val="C"/>
    <w:docVar w:name="LW_REF.INST.NEW_ADOPTED" w:val="final"/>
    <w:docVar w:name="LW_REF.INST.NEW_TEXT" w:val="(2023) 56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A"/>
    <w:docVar w:name="LW_TYPE.DOC.CP" w:val="PRILOGA"/>
    <w:docVar w:name="LW_TYPEACTEPRINCIPAL" w:val="Izvedbeni uredbi Komisije"/>
    <w:docVar w:name="LW_TYPEACTEPRINCIPAL.CP" w:val="Izvedbeni uredbi Komisije"/>
    <w:docVar w:name="LwApiVersions" w:val="LW4CoDe 1.23.2.0; LW 8.0, Build 20211117"/>
  </w:docVars>
  <w:rsids>
    <w:rsidRoot w:val="00555224"/>
    <w:rsid w:val="0000016F"/>
    <w:rsid w:val="0000414F"/>
    <w:rsid w:val="00004F1D"/>
    <w:rsid w:val="0000572C"/>
    <w:rsid w:val="00007A58"/>
    <w:rsid w:val="00010907"/>
    <w:rsid w:val="000110C0"/>
    <w:rsid w:val="000117F8"/>
    <w:rsid w:val="00012733"/>
    <w:rsid w:val="000133CF"/>
    <w:rsid w:val="00014F7C"/>
    <w:rsid w:val="0001528B"/>
    <w:rsid w:val="00020EEF"/>
    <w:rsid w:val="00023245"/>
    <w:rsid w:val="00024B96"/>
    <w:rsid w:val="00025580"/>
    <w:rsid w:val="00027355"/>
    <w:rsid w:val="000321D0"/>
    <w:rsid w:val="00032A7B"/>
    <w:rsid w:val="0003769F"/>
    <w:rsid w:val="000410B1"/>
    <w:rsid w:val="00041891"/>
    <w:rsid w:val="00041F8F"/>
    <w:rsid w:val="00043F56"/>
    <w:rsid w:val="00046462"/>
    <w:rsid w:val="000478E7"/>
    <w:rsid w:val="000501CB"/>
    <w:rsid w:val="00052CCB"/>
    <w:rsid w:val="00053829"/>
    <w:rsid w:val="000553F8"/>
    <w:rsid w:val="00055805"/>
    <w:rsid w:val="00057751"/>
    <w:rsid w:val="00065528"/>
    <w:rsid w:val="0006596C"/>
    <w:rsid w:val="00065AEA"/>
    <w:rsid w:val="00070021"/>
    <w:rsid w:val="000714FD"/>
    <w:rsid w:val="00075EDB"/>
    <w:rsid w:val="00080B76"/>
    <w:rsid w:val="00081CCF"/>
    <w:rsid w:val="0008322C"/>
    <w:rsid w:val="00083808"/>
    <w:rsid w:val="00084B29"/>
    <w:rsid w:val="00085A16"/>
    <w:rsid w:val="00085D54"/>
    <w:rsid w:val="000903CC"/>
    <w:rsid w:val="000914C4"/>
    <w:rsid w:val="00091C77"/>
    <w:rsid w:val="0009333F"/>
    <w:rsid w:val="00093D5B"/>
    <w:rsid w:val="000941A3"/>
    <w:rsid w:val="000973F4"/>
    <w:rsid w:val="00097EFD"/>
    <w:rsid w:val="000A0779"/>
    <w:rsid w:val="000A7F49"/>
    <w:rsid w:val="000B02F9"/>
    <w:rsid w:val="000B2B6C"/>
    <w:rsid w:val="000B2EC0"/>
    <w:rsid w:val="000B4F3E"/>
    <w:rsid w:val="000B7914"/>
    <w:rsid w:val="000C02EF"/>
    <w:rsid w:val="000C122F"/>
    <w:rsid w:val="000C2A92"/>
    <w:rsid w:val="000C3C36"/>
    <w:rsid w:val="000C4812"/>
    <w:rsid w:val="000C4CC6"/>
    <w:rsid w:val="000D106B"/>
    <w:rsid w:val="000D1693"/>
    <w:rsid w:val="000D44D0"/>
    <w:rsid w:val="000D4AB1"/>
    <w:rsid w:val="000E349D"/>
    <w:rsid w:val="000E3818"/>
    <w:rsid w:val="000E45B7"/>
    <w:rsid w:val="000E5FBD"/>
    <w:rsid w:val="000F1473"/>
    <w:rsid w:val="000F1C58"/>
    <w:rsid w:val="000F2666"/>
    <w:rsid w:val="000F295D"/>
    <w:rsid w:val="000F70FE"/>
    <w:rsid w:val="00103CBF"/>
    <w:rsid w:val="00104E34"/>
    <w:rsid w:val="0010586E"/>
    <w:rsid w:val="00105A2F"/>
    <w:rsid w:val="00106168"/>
    <w:rsid w:val="00107CA1"/>
    <w:rsid w:val="00111D07"/>
    <w:rsid w:val="00112035"/>
    <w:rsid w:val="00112E38"/>
    <w:rsid w:val="001164BE"/>
    <w:rsid w:val="00120C00"/>
    <w:rsid w:val="00122018"/>
    <w:rsid w:val="00122FD3"/>
    <w:rsid w:val="00127C1A"/>
    <w:rsid w:val="0013206B"/>
    <w:rsid w:val="001343A9"/>
    <w:rsid w:val="00134689"/>
    <w:rsid w:val="00136BE3"/>
    <w:rsid w:val="00140DD8"/>
    <w:rsid w:val="00141E24"/>
    <w:rsid w:val="001439EA"/>
    <w:rsid w:val="00144E44"/>
    <w:rsid w:val="00152894"/>
    <w:rsid w:val="00153042"/>
    <w:rsid w:val="00153209"/>
    <w:rsid w:val="0015448D"/>
    <w:rsid w:val="00154541"/>
    <w:rsid w:val="00164D51"/>
    <w:rsid w:val="00165401"/>
    <w:rsid w:val="00166561"/>
    <w:rsid w:val="00166A4F"/>
    <w:rsid w:val="00170264"/>
    <w:rsid w:val="00180E5D"/>
    <w:rsid w:val="00181A3F"/>
    <w:rsid w:val="00184BBB"/>
    <w:rsid w:val="0018620A"/>
    <w:rsid w:val="00187E1D"/>
    <w:rsid w:val="001904CD"/>
    <w:rsid w:val="0019110B"/>
    <w:rsid w:val="0019152D"/>
    <w:rsid w:val="00191D9E"/>
    <w:rsid w:val="001A17F5"/>
    <w:rsid w:val="001A1F71"/>
    <w:rsid w:val="001A292A"/>
    <w:rsid w:val="001A5CAB"/>
    <w:rsid w:val="001B037F"/>
    <w:rsid w:val="001B048A"/>
    <w:rsid w:val="001B1AB3"/>
    <w:rsid w:val="001B43BB"/>
    <w:rsid w:val="001B63CE"/>
    <w:rsid w:val="001B750E"/>
    <w:rsid w:val="001C0807"/>
    <w:rsid w:val="001C282F"/>
    <w:rsid w:val="001C30A9"/>
    <w:rsid w:val="001C4994"/>
    <w:rsid w:val="001C5019"/>
    <w:rsid w:val="001C677C"/>
    <w:rsid w:val="001C7780"/>
    <w:rsid w:val="001C7B7B"/>
    <w:rsid w:val="001D175D"/>
    <w:rsid w:val="001D21A1"/>
    <w:rsid w:val="001D2E88"/>
    <w:rsid w:val="001D7FDD"/>
    <w:rsid w:val="001E0672"/>
    <w:rsid w:val="001E1588"/>
    <w:rsid w:val="001E3DE5"/>
    <w:rsid w:val="001E3E4B"/>
    <w:rsid w:val="001F0F4B"/>
    <w:rsid w:val="001F253C"/>
    <w:rsid w:val="001F5240"/>
    <w:rsid w:val="001F5A7D"/>
    <w:rsid w:val="001F71DC"/>
    <w:rsid w:val="00200C0C"/>
    <w:rsid w:val="00202C38"/>
    <w:rsid w:val="00205DC2"/>
    <w:rsid w:val="0020658F"/>
    <w:rsid w:val="00211B96"/>
    <w:rsid w:val="002136D5"/>
    <w:rsid w:val="00214B02"/>
    <w:rsid w:val="00216D79"/>
    <w:rsid w:val="00217B62"/>
    <w:rsid w:val="0022237A"/>
    <w:rsid w:val="0022287E"/>
    <w:rsid w:val="002229DC"/>
    <w:rsid w:val="00223507"/>
    <w:rsid w:val="00224886"/>
    <w:rsid w:val="002249F8"/>
    <w:rsid w:val="00225281"/>
    <w:rsid w:val="002311CE"/>
    <w:rsid w:val="00231978"/>
    <w:rsid w:val="002347D3"/>
    <w:rsid w:val="00234954"/>
    <w:rsid w:val="00236ABD"/>
    <w:rsid w:val="002379DB"/>
    <w:rsid w:val="00241BA6"/>
    <w:rsid w:val="00243933"/>
    <w:rsid w:val="00244632"/>
    <w:rsid w:val="00244878"/>
    <w:rsid w:val="00244A46"/>
    <w:rsid w:val="00251735"/>
    <w:rsid w:val="0025250A"/>
    <w:rsid w:val="002542D8"/>
    <w:rsid w:val="00254824"/>
    <w:rsid w:val="002601B1"/>
    <w:rsid w:val="00260457"/>
    <w:rsid w:val="0026074D"/>
    <w:rsid w:val="00260785"/>
    <w:rsid w:val="00264AD3"/>
    <w:rsid w:val="00267706"/>
    <w:rsid w:val="002767C4"/>
    <w:rsid w:val="002778F0"/>
    <w:rsid w:val="00277AF0"/>
    <w:rsid w:val="0028073A"/>
    <w:rsid w:val="00281722"/>
    <w:rsid w:val="00281989"/>
    <w:rsid w:val="00284D38"/>
    <w:rsid w:val="0029067F"/>
    <w:rsid w:val="0029182C"/>
    <w:rsid w:val="00291854"/>
    <w:rsid w:val="00292708"/>
    <w:rsid w:val="00292D51"/>
    <w:rsid w:val="0029377C"/>
    <w:rsid w:val="00296314"/>
    <w:rsid w:val="00296DFC"/>
    <w:rsid w:val="002A2DD0"/>
    <w:rsid w:val="002A6B7D"/>
    <w:rsid w:val="002B0A2A"/>
    <w:rsid w:val="002B16F5"/>
    <w:rsid w:val="002B22DA"/>
    <w:rsid w:val="002B2AAC"/>
    <w:rsid w:val="002B466D"/>
    <w:rsid w:val="002C12B6"/>
    <w:rsid w:val="002C1385"/>
    <w:rsid w:val="002C3B55"/>
    <w:rsid w:val="002C4A46"/>
    <w:rsid w:val="002C60F2"/>
    <w:rsid w:val="002C67E2"/>
    <w:rsid w:val="002D03F0"/>
    <w:rsid w:val="002D0445"/>
    <w:rsid w:val="002D37BE"/>
    <w:rsid w:val="002D4495"/>
    <w:rsid w:val="002D52CD"/>
    <w:rsid w:val="002D53FE"/>
    <w:rsid w:val="002E13C5"/>
    <w:rsid w:val="002E3242"/>
    <w:rsid w:val="002E355D"/>
    <w:rsid w:val="002F1538"/>
    <w:rsid w:val="002F1935"/>
    <w:rsid w:val="002F308C"/>
    <w:rsid w:val="002F5106"/>
    <w:rsid w:val="002F5AEB"/>
    <w:rsid w:val="002F67B6"/>
    <w:rsid w:val="002F6AAF"/>
    <w:rsid w:val="003003B7"/>
    <w:rsid w:val="003012B2"/>
    <w:rsid w:val="00305958"/>
    <w:rsid w:val="00314403"/>
    <w:rsid w:val="00315460"/>
    <w:rsid w:val="0032373D"/>
    <w:rsid w:val="00323AA1"/>
    <w:rsid w:val="00323D5A"/>
    <w:rsid w:val="00327883"/>
    <w:rsid w:val="00330E34"/>
    <w:rsid w:val="003328E5"/>
    <w:rsid w:val="00332A4B"/>
    <w:rsid w:val="00332AAD"/>
    <w:rsid w:val="00334CEF"/>
    <w:rsid w:val="00336496"/>
    <w:rsid w:val="00336B72"/>
    <w:rsid w:val="00340C12"/>
    <w:rsid w:val="00346BE0"/>
    <w:rsid w:val="00347EE8"/>
    <w:rsid w:val="0035085A"/>
    <w:rsid w:val="00351564"/>
    <w:rsid w:val="00351C18"/>
    <w:rsid w:val="00352954"/>
    <w:rsid w:val="0035484F"/>
    <w:rsid w:val="0035655E"/>
    <w:rsid w:val="00361FB0"/>
    <w:rsid w:val="003651F7"/>
    <w:rsid w:val="003657CB"/>
    <w:rsid w:val="00367901"/>
    <w:rsid w:val="0037290B"/>
    <w:rsid w:val="00373344"/>
    <w:rsid w:val="00375FE4"/>
    <w:rsid w:val="003811CC"/>
    <w:rsid w:val="00382627"/>
    <w:rsid w:val="00384816"/>
    <w:rsid w:val="00385816"/>
    <w:rsid w:val="00386704"/>
    <w:rsid w:val="00387BB7"/>
    <w:rsid w:val="00387BD4"/>
    <w:rsid w:val="00387F16"/>
    <w:rsid w:val="00391197"/>
    <w:rsid w:val="003923CA"/>
    <w:rsid w:val="00392F13"/>
    <w:rsid w:val="003945F3"/>
    <w:rsid w:val="00395924"/>
    <w:rsid w:val="003A3311"/>
    <w:rsid w:val="003A6A89"/>
    <w:rsid w:val="003B217D"/>
    <w:rsid w:val="003B616F"/>
    <w:rsid w:val="003B7834"/>
    <w:rsid w:val="003C4D95"/>
    <w:rsid w:val="003C6DE3"/>
    <w:rsid w:val="003C6F32"/>
    <w:rsid w:val="003C720C"/>
    <w:rsid w:val="003D29CB"/>
    <w:rsid w:val="003D4991"/>
    <w:rsid w:val="003D68C9"/>
    <w:rsid w:val="003D6CE9"/>
    <w:rsid w:val="003E0458"/>
    <w:rsid w:val="003E0F35"/>
    <w:rsid w:val="003E1F5E"/>
    <w:rsid w:val="003E31FB"/>
    <w:rsid w:val="003E338B"/>
    <w:rsid w:val="003E356A"/>
    <w:rsid w:val="003E36B0"/>
    <w:rsid w:val="003E4922"/>
    <w:rsid w:val="003E49B2"/>
    <w:rsid w:val="003E7D66"/>
    <w:rsid w:val="003E7F9C"/>
    <w:rsid w:val="003F0966"/>
    <w:rsid w:val="003F28CB"/>
    <w:rsid w:val="003F2D5D"/>
    <w:rsid w:val="003F3767"/>
    <w:rsid w:val="003F566A"/>
    <w:rsid w:val="003F73EF"/>
    <w:rsid w:val="00401DC4"/>
    <w:rsid w:val="00402410"/>
    <w:rsid w:val="00405D43"/>
    <w:rsid w:val="0040604C"/>
    <w:rsid w:val="00406E86"/>
    <w:rsid w:val="00410DEC"/>
    <w:rsid w:val="004119DA"/>
    <w:rsid w:val="0041224B"/>
    <w:rsid w:val="004173DF"/>
    <w:rsid w:val="0042019E"/>
    <w:rsid w:val="0042231D"/>
    <w:rsid w:val="00431554"/>
    <w:rsid w:val="00432082"/>
    <w:rsid w:val="0043592D"/>
    <w:rsid w:val="00437336"/>
    <w:rsid w:val="00440852"/>
    <w:rsid w:val="004422D7"/>
    <w:rsid w:val="0044327D"/>
    <w:rsid w:val="00445392"/>
    <w:rsid w:val="00446D8C"/>
    <w:rsid w:val="00447740"/>
    <w:rsid w:val="004477E7"/>
    <w:rsid w:val="004510E5"/>
    <w:rsid w:val="0045156F"/>
    <w:rsid w:val="00451933"/>
    <w:rsid w:val="00455A6A"/>
    <w:rsid w:val="004629B2"/>
    <w:rsid w:val="004630E2"/>
    <w:rsid w:val="00465C4D"/>
    <w:rsid w:val="00470095"/>
    <w:rsid w:val="0047012F"/>
    <w:rsid w:val="00474B1A"/>
    <w:rsid w:val="00474FF9"/>
    <w:rsid w:val="00475B8F"/>
    <w:rsid w:val="0047655C"/>
    <w:rsid w:val="00477BD9"/>
    <w:rsid w:val="00481574"/>
    <w:rsid w:val="00481C20"/>
    <w:rsid w:val="0048297F"/>
    <w:rsid w:val="00485FA6"/>
    <w:rsid w:val="00490445"/>
    <w:rsid w:val="00492F3D"/>
    <w:rsid w:val="0049496C"/>
    <w:rsid w:val="0049785B"/>
    <w:rsid w:val="004A2014"/>
    <w:rsid w:val="004A30F9"/>
    <w:rsid w:val="004A44E1"/>
    <w:rsid w:val="004B155D"/>
    <w:rsid w:val="004B1ABD"/>
    <w:rsid w:val="004B2D10"/>
    <w:rsid w:val="004B36C7"/>
    <w:rsid w:val="004B6798"/>
    <w:rsid w:val="004C00BF"/>
    <w:rsid w:val="004C6803"/>
    <w:rsid w:val="004C7612"/>
    <w:rsid w:val="004D5420"/>
    <w:rsid w:val="004D657A"/>
    <w:rsid w:val="004E11FA"/>
    <w:rsid w:val="004E137F"/>
    <w:rsid w:val="004E1A2B"/>
    <w:rsid w:val="004E2BF3"/>
    <w:rsid w:val="004E51B6"/>
    <w:rsid w:val="004E5BA5"/>
    <w:rsid w:val="004E5F92"/>
    <w:rsid w:val="004F00F8"/>
    <w:rsid w:val="004F1E95"/>
    <w:rsid w:val="004F530D"/>
    <w:rsid w:val="004F5E71"/>
    <w:rsid w:val="005000D5"/>
    <w:rsid w:val="00503155"/>
    <w:rsid w:val="00506ED8"/>
    <w:rsid w:val="00507280"/>
    <w:rsid w:val="005078B1"/>
    <w:rsid w:val="00511C0C"/>
    <w:rsid w:val="005129C3"/>
    <w:rsid w:val="00515026"/>
    <w:rsid w:val="00516606"/>
    <w:rsid w:val="00520A2F"/>
    <w:rsid w:val="00521937"/>
    <w:rsid w:val="00524B9B"/>
    <w:rsid w:val="0052666E"/>
    <w:rsid w:val="00531759"/>
    <w:rsid w:val="00531A66"/>
    <w:rsid w:val="00532177"/>
    <w:rsid w:val="005328CF"/>
    <w:rsid w:val="00533252"/>
    <w:rsid w:val="00534033"/>
    <w:rsid w:val="00535015"/>
    <w:rsid w:val="00535AC2"/>
    <w:rsid w:val="005365AB"/>
    <w:rsid w:val="00537394"/>
    <w:rsid w:val="00537FD8"/>
    <w:rsid w:val="00540F90"/>
    <w:rsid w:val="00541258"/>
    <w:rsid w:val="00542FB8"/>
    <w:rsid w:val="00543EAA"/>
    <w:rsid w:val="005446DC"/>
    <w:rsid w:val="00544E72"/>
    <w:rsid w:val="00545857"/>
    <w:rsid w:val="00550B47"/>
    <w:rsid w:val="00552A8B"/>
    <w:rsid w:val="005543A0"/>
    <w:rsid w:val="00555224"/>
    <w:rsid w:val="00555916"/>
    <w:rsid w:val="00561A09"/>
    <w:rsid w:val="00561E3E"/>
    <w:rsid w:val="00563327"/>
    <w:rsid w:val="005637B0"/>
    <w:rsid w:val="0056447F"/>
    <w:rsid w:val="00564F90"/>
    <w:rsid w:val="00566671"/>
    <w:rsid w:val="00566685"/>
    <w:rsid w:val="00571255"/>
    <w:rsid w:val="0057151B"/>
    <w:rsid w:val="00571A4A"/>
    <w:rsid w:val="00573BB4"/>
    <w:rsid w:val="00573CF4"/>
    <w:rsid w:val="00575960"/>
    <w:rsid w:val="005772FE"/>
    <w:rsid w:val="00577CBA"/>
    <w:rsid w:val="005814EA"/>
    <w:rsid w:val="00582244"/>
    <w:rsid w:val="00583746"/>
    <w:rsid w:val="00584834"/>
    <w:rsid w:val="005856EF"/>
    <w:rsid w:val="00585BE9"/>
    <w:rsid w:val="00591AB0"/>
    <w:rsid w:val="0059250C"/>
    <w:rsid w:val="00595FD6"/>
    <w:rsid w:val="005A5724"/>
    <w:rsid w:val="005A62A6"/>
    <w:rsid w:val="005A7C7D"/>
    <w:rsid w:val="005B0143"/>
    <w:rsid w:val="005B183A"/>
    <w:rsid w:val="005B4754"/>
    <w:rsid w:val="005B6294"/>
    <w:rsid w:val="005B69E9"/>
    <w:rsid w:val="005B770A"/>
    <w:rsid w:val="005C1D3B"/>
    <w:rsid w:val="005C2300"/>
    <w:rsid w:val="005C47C3"/>
    <w:rsid w:val="005D17C4"/>
    <w:rsid w:val="005D4AC7"/>
    <w:rsid w:val="005D5204"/>
    <w:rsid w:val="005D5BC8"/>
    <w:rsid w:val="005D6B96"/>
    <w:rsid w:val="005E28C6"/>
    <w:rsid w:val="005E4141"/>
    <w:rsid w:val="005E5136"/>
    <w:rsid w:val="005E523F"/>
    <w:rsid w:val="005E7B06"/>
    <w:rsid w:val="005F7784"/>
    <w:rsid w:val="00601A9D"/>
    <w:rsid w:val="00605394"/>
    <w:rsid w:val="0060652B"/>
    <w:rsid w:val="006066EB"/>
    <w:rsid w:val="00607E0A"/>
    <w:rsid w:val="00615A7D"/>
    <w:rsid w:val="0061798F"/>
    <w:rsid w:val="00620009"/>
    <w:rsid w:val="00621FCD"/>
    <w:rsid w:val="006312E2"/>
    <w:rsid w:val="00636FE6"/>
    <w:rsid w:val="006406D7"/>
    <w:rsid w:val="006439CE"/>
    <w:rsid w:val="00644DD6"/>
    <w:rsid w:val="006470F0"/>
    <w:rsid w:val="00652CC8"/>
    <w:rsid w:val="00652D07"/>
    <w:rsid w:val="00652E4A"/>
    <w:rsid w:val="00655589"/>
    <w:rsid w:val="00656EC7"/>
    <w:rsid w:val="00660452"/>
    <w:rsid w:val="00666D05"/>
    <w:rsid w:val="00672408"/>
    <w:rsid w:val="00675DE2"/>
    <w:rsid w:val="006825A7"/>
    <w:rsid w:val="00682BB6"/>
    <w:rsid w:val="00683D00"/>
    <w:rsid w:val="00683DBB"/>
    <w:rsid w:val="00690A02"/>
    <w:rsid w:val="00693147"/>
    <w:rsid w:val="006941E4"/>
    <w:rsid w:val="0069682E"/>
    <w:rsid w:val="006968E5"/>
    <w:rsid w:val="00697BB2"/>
    <w:rsid w:val="006A0BCC"/>
    <w:rsid w:val="006A27C5"/>
    <w:rsid w:val="006A41E2"/>
    <w:rsid w:val="006A4B05"/>
    <w:rsid w:val="006B2053"/>
    <w:rsid w:val="006B5B67"/>
    <w:rsid w:val="006C0D1D"/>
    <w:rsid w:val="006C2198"/>
    <w:rsid w:val="006C5C3B"/>
    <w:rsid w:val="006D02E7"/>
    <w:rsid w:val="006D05D8"/>
    <w:rsid w:val="006D3C4C"/>
    <w:rsid w:val="006D56A0"/>
    <w:rsid w:val="006D5C67"/>
    <w:rsid w:val="006D5E1D"/>
    <w:rsid w:val="006D7618"/>
    <w:rsid w:val="006D7810"/>
    <w:rsid w:val="006E0C30"/>
    <w:rsid w:val="006E119A"/>
    <w:rsid w:val="006E268C"/>
    <w:rsid w:val="006F0371"/>
    <w:rsid w:val="006F12A1"/>
    <w:rsid w:val="006F1B7C"/>
    <w:rsid w:val="006F1E13"/>
    <w:rsid w:val="006F3C12"/>
    <w:rsid w:val="006F5ACE"/>
    <w:rsid w:val="006F64DA"/>
    <w:rsid w:val="0070092F"/>
    <w:rsid w:val="00701F91"/>
    <w:rsid w:val="007027D4"/>
    <w:rsid w:val="00704232"/>
    <w:rsid w:val="007143CA"/>
    <w:rsid w:val="00714C40"/>
    <w:rsid w:val="0071685A"/>
    <w:rsid w:val="0072518C"/>
    <w:rsid w:val="007252D5"/>
    <w:rsid w:val="0072564E"/>
    <w:rsid w:val="00726111"/>
    <w:rsid w:val="007261C3"/>
    <w:rsid w:val="00734F22"/>
    <w:rsid w:val="007363A6"/>
    <w:rsid w:val="0074216E"/>
    <w:rsid w:val="00743CA4"/>
    <w:rsid w:val="00743E09"/>
    <w:rsid w:val="0074405D"/>
    <w:rsid w:val="0074587D"/>
    <w:rsid w:val="007478DA"/>
    <w:rsid w:val="00747C96"/>
    <w:rsid w:val="00753C33"/>
    <w:rsid w:val="00754FA3"/>
    <w:rsid w:val="00757045"/>
    <w:rsid w:val="00760D6A"/>
    <w:rsid w:val="00761619"/>
    <w:rsid w:val="007625DB"/>
    <w:rsid w:val="00766BB4"/>
    <w:rsid w:val="0077007E"/>
    <w:rsid w:val="007736FD"/>
    <w:rsid w:val="00774DDE"/>
    <w:rsid w:val="0077621B"/>
    <w:rsid w:val="00777D01"/>
    <w:rsid w:val="00780676"/>
    <w:rsid w:val="0078313B"/>
    <w:rsid w:val="0078415E"/>
    <w:rsid w:val="007850C9"/>
    <w:rsid w:val="00785284"/>
    <w:rsid w:val="00790185"/>
    <w:rsid w:val="00790286"/>
    <w:rsid w:val="00790F74"/>
    <w:rsid w:val="007920EB"/>
    <w:rsid w:val="00794F1B"/>
    <w:rsid w:val="007A2F63"/>
    <w:rsid w:val="007A3DA7"/>
    <w:rsid w:val="007A43AE"/>
    <w:rsid w:val="007A5060"/>
    <w:rsid w:val="007A50A9"/>
    <w:rsid w:val="007A7FB7"/>
    <w:rsid w:val="007B4DA9"/>
    <w:rsid w:val="007B616B"/>
    <w:rsid w:val="007C21C0"/>
    <w:rsid w:val="007C2884"/>
    <w:rsid w:val="007C614C"/>
    <w:rsid w:val="007C7AAC"/>
    <w:rsid w:val="007D0D22"/>
    <w:rsid w:val="007D11F7"/>
    <w:rsid w:val="007D31D4"/>
    <w:rsid w:val="007D3B0D"/>
    <w:rsid w:val="007D7646"/>
    <w:rsid w:val="007E41B8"/>
    <w:rsid w:val="007E720F"/>
    <w:rsid w:val="007F0C70"/>
    <w:rsid w:val="007F17A7"/>
    <w:rsid w:val="007F1A68"/>
    <w:rsid w:val="007F2936"/>
    <w:rsid w:val="007F3066"/>
    <w:rsid w:val="007F6345"/>
    <w:rsid w:val="007F738D"/>
    <w:rsid w:val="008007C3"/>
    <w:rsid w:val="008008F2"/>
    <w:rsid w:val="008016B6"/>
    <w:rsid w:val="00802CB4"/>
    <w:rsid w:val="00803072"/>
    <w:rsid w:val="00804283"/>
    <w:rsid w:val="00805657"/>
    <w:rsid w:val="00806CEC"/>
    <w:rsid w:val="00807CB4"/>
    <w:rsid w:val="00811A42"/>
    <w:rsid w:val="008232F2"/>
    <w:rsid w:val="00823793"/>
    <w:rsid w:val="00824438"/>
    <w:rsid w:val="0082498F"/>
    <w:rsid w:val="00825AF8"/>
    <w:rsid w:val="00825D91"/>
    <w:rsid w:val="00830E61"/>
    <w:rsid w:val="00831111"/>
    <w:rsid w:val="00836645"/>
    <w:rsid w:val="008426CA"/>
    <w:rsid w:val="00850F37"/>
    <w:rsid w:val="00851C4D"/>
    <w:rsid w:val="008540B9"/>
    <w:rsid w:val="00857C22"/>
    <w:rsid w:val="00860C89"/>
    <w:rsid w:val="00860CF3"/>
    <w:rsid w:val="008667FD"/>
    <w:rsid w:val="008671BE"/>
    <w:rsid w:val="00867C0B"/>
    <w:rsid w:val="00870746"/>
    <w:rsid w:val="008715D9"/>
    <w:rsid w:val="00871B03"/>
    <w:rsid w:val="0087249A"/>
    <w:rsid w:val="0087657F"/>
    <w:rsid w:val="00877172"/>
    <w:rsid w:val="00877A4C"/>
    <w:rsid w:val="00880B80"/>
    <w:rsid w:val="0088101C"/>
    <w:rsid w:val="00881400"/>
    <w:rsid w:val="0088195D"/>
    <w:rsid w:val="008876DE"/>
    <w:rsid w:val="008908D4"/>
    <w:rsid w:val="0089130A"/>
    <w:rsid w:val="00892376"/>
    <w:rsid w:val="00893A65"/>
    <w:rsid w:val="00894A2F"/>
    <w:rsid w:val="00896439"/>
    <w:rsid w:val="00896E06"/>
    <w:rsid w:val="008970D2"/>
    <w:rsid w:val="00897666"/>
    <w:rsid w:val="00897BCD"/>
    <w:rsid w:val="008A02D6"/>
    <w:rsid w:val="008A04C0"/>
    <w:rsid w:val="008B0FC5"/>
    <w:rsid w:val="008B1A84"/>
    <w:rsid w:val="008B20C9"/>
    <w:rsid w:val="008B35C9"/>
    <w:rsid w:val="008B6B9B"/>
    <w:rsid w:val="008B73A1"/>
    <w:rsid w:val="008B7B9B"/>
    <w:rsid w:val="008C30D0"/>
    <w:rsid w:val="008C3226"/>
    <w:rsid w:val="008C3D9E"/>
    <w:rsid w:val="008C5A80"/>
    <w:rsid w:val="008C74D7"/>
    <w:rsid w:val="008D1226"/>
    <w:rsid w:val="008D327B"/>
    <w:rsid w:val="008D3763"/>
    <w:rsid w:val="008D6B6C"/>
    <w:rsid w:val="008E07E1"/>
    <w:rsid w:val="008E1CAB"/>
    <w:rsid w:val="008E3074"/>
    <w:rsid w:val="008E7F3E"/>
    <w:rsid w:val="008F06DC"/>
    <w:rsid w:val="008F0E39"/>
    <w:rsid w:val="008F1DB4"/>
    <w:rsid w:val="008F1E03"/>
    <w:rsid w:val="008F21F5"/>
    <w:rsid w:val="008F4E6A"/>
    <w:rsid w:val="008F5768"/>
    <w:rsid w:val="008F64F7"/>
    <w:rsid w:val="00900D70"/>
    <w:rsid w:val="009029E8"/>
    <w:rsid w:val="00902BA9"/>
    <w:rsid w:val="00904E22"/>
    <w:rsid w:val="00906F83"/>
    <w:rsid w:val="00912F51"/>
    <w:rsid w:val="00913C50"/>
    <w:rsid w:val="0091468F"/>
    <w:rsid w:val="00914B22"/>
    <w:rsid w:val="009170CA"/>
    <w:rsid w:val="00921283"/>
    <w:rsid w:val="00922DA9"/>
    <w:rsid w:val="00923EC5"/>
    <w:rsid w:val="00930399"/>
    <w:rsid w:val="00931B9C"/>
    <w:rsid w:val="00933FC4"/>
    <w:rsid w:val="009362A9"/>
    <w:rsid w:val="00940E4A"/>
    <w:rsid w:val="0094233D"/>
    <w:rsid w:val="00942870"/>
    <w:rsid w:val="00943200"/>
    <w:rsid w:val="0094526B"/>
    <w:rsid w:val="009462A4"/>
    <w:rsid w:val="00947F13"/>
    <w:rsid w:val="009500BE"/>
    <w:rsid w:val="00951456"/>
    <w:rsid w:val="00953254"/>
    <w:rsid w:val="009568C7"/>
    <w:rsid w:val="00957881"/>
    <w:rsid w:val="00957FC3"/>
    <w:rsid w:val="0096054E"/>
    <w:rsid w:val="0096619B"/>
    <w:rsid w:val="009668A9"/>
    <w:rsid w:val="00967035"/>
    <w:rsid w:val="00971D40"/>
    <w:rsid w:val="009726B6"/>
    <w:rsid w:val="00972FB8"/>
    <w:rsid w:val="0097315A"/>
    <w:rsid w:val="00976F59"/>
    <w:rsid w:val="009832A2"/>
    <w:rsid w:val="00983339"/>
    <w:rsid w:val="00985EDB"/>
    <w:rsid w:val="00990141"/>
    <w:rsid w:val="00991395"/>
    <w:rsid w:val="009935EF"/>
    <w:rsid w:val="00996B82"/>
    <w:rsid w:val="009A32ED"/>
    <w:rsid w:val="009A4191"/>
    <w:rsid w:val="009A48FE"/>
    <w:rsid w:val="009A5012"/>
    <w:rsid w:val="009A5777"/>
    <w:rsid w:val="009A6F1F"/>
    <w:rsid w:val="009A72E3"/>
    <w:rsid w:val="009B36A7"/>
    <w:rsid w:val="009B421C"/>
    <w:rsid w:val="009B70CE"/>
    <w:rsid w:val="009C3CD5"/>
    <w:rsid w:val="009C4E05"/>
    <w:rsid w:val="009D31FC"/>
    <w:rsid w:val="009D3A7D"/>
    <w:rsid w:val="009D7228"/>
    <w:rsid w:val="009E2CE4"/>
    <w:rsid w:val="009E3EC5"/>
    <w:rsid w:val="009E68A5"/>
    <w:rsid w:val="009E75AB"/>
    <w:rsid w:val="009F0E5F"/>
    <w:rsid w:val="009F2EE5"/>
    <w:rsid w:val="009F2F62"/>
    <w:rsid w:val="009F51B7"/>
    <w:rsid w:val="009F716C"/>
    <w:rsid w:val="00A002B3"/>
    <w:rsid w:val="00A02CE9"/>
    <w:rsid w:val="00A0370E"/>
    <w:rsid w:val="00A038AA"/>
    <w:rsid w:val="00A05831"/>
    <w:rsid w:val="00A06C4B"/>
    <w:rsid w:val="00A0708A"/>
    <w:rsid w:val="00A07696"/>
    <w:rsid w:val="00A14C3E"/>
    <w:rsid w:val="00A17C72"/>
    <w:rsid w:val="00A21690"/>
    <w:rsid w:val="00A22082"/>
    <w:rsid w:val="00A24854"/>
    <w:rsid w:val="00A24EF7"/>
    <w:rsid w:val="00A25620"/>
    <w:rsid w:val="00A33F16"/>
    <w:rsid w:val="00A346A8"/>
    <w:rsid w:val="00A36497"/>
    <w:rsid w:val="00A41DEA"/>
    <w:rsid w:val="00A53378"/>
    <w:rsid w:val="00A6104E"/>
    <w:rsid w:val="00A61670"/>
    <w:rsid w:val="00A61AB5"/>
    <w:rsid w:val="00A61B89"/>
    <w:rsid w:val="00A62CA1"/>
    <w:rsid w:val="00A668EA"/>
    <w:rsid w:val="00A7144B"/>
    <w:rsid w:val="00A7322A"/>
    <w:rsid w:val="00A76004"/>
    <w:rsid w:val="00A76238"/>
    <w:rsid w:val="00A775BD"/>
    <w:rsid w:val="00A80C13"/>
    <w:rsid w:val="00A81418"/>
    <w:rsid w:val="00A81EA1"/>
    <w:rsid w:val="00A847E6"/>
    <w:rsid w:val="00A853AA"/>
    <w:rsid w:val="00A87DA6"/>
    <w:rsid w:val="00A931B1"/>
    <w:rsid w:val="00A93BB1"/>
    <w:rsid w:val="00A95C96"/>
    <w:rsid w:val="00A96668"/>
    <w:rsid w:val="00A97818"/>
    <w:rsid w:val="00AA177F"/>
    <w:rsid w:val="00AA3AAD"/>
    <w:rsid w:val="00AA493F"/>
    <w:rsid w:val="00AA72E3"/>
    <w:rsid w:val="00AB0131"/>
    <w:rsid w:val="00AB0F88"/>
    <w:rsid w:val="00AB2D87"/>
    <w:rsid w:val="00AB4FA4"/>
    <w:rsid w:val="00AB5468"/>
    <w:rsid w:val="00AB6AA2"/>
    <w:rsid w:val="00AC5564"/>
    <w:rsid w:val="00AC7E4C"/>
    <w:rsid w:val="00AD03EE"/>
    <w:rsid w:val="00AD3486"/>
    <w:rsid w:val="00AD4362"/>
    <w:rsid w:val="00AD502C"/>
    <w:rsid w:val="00AD5212"/>
    <w:rsid w:val="00AD7234"/>
    <w:rsid w:val="00AD7CB5"/>
    <w:rsid w:val="00AE4CB2"/>
    <w:rsid w:val="00AE5793"/>
    <w:rsid w:val="00AE5AA2"/>
    <w:rsid w:val="00AE7128"/>
    <w:rsid w:val="00AF01EF"/>
    <w:rsid w:val="00AF026B"/>
    <w:rsid w:val="00AF1388"/>
    <w:rsid w:val="00AF2362"/>
    <w:rsid w:val="00AF2D41"/>
    <w:rsid w:val="00AF2FB4"/>
    <w:rsid w:val="00AF346F"/>
    <w:rsid w:val="00AF34BE"/>
    <w:rsid w:val="00AF3F3C"/>
    <w:rsid w:val="00AF496C"/>
    <w:rsid w:val="00AF7128"/>
    <w:rsid w:val="00AF79B6"/>
    <w:rsid w:val="00B00D91"/>
    <w:rsid w:val="00B026A9"/>
    <w:rsid w:val="00B0311F"/>
    <w:rsid w:val="00B03A44"/>
    <w:rsid w:val="00B043A6"/>
    <w:rsid w:val="00B07595"/>
    <w:rsid w:val="00B103F8"/>
    <w:rsid w:val="00B11799"/>
    <w:rsid w:val="00B16FA3"/>
    <w:rsid w:val="00B22BCD"/>
    <w:rsid w:val="00B2365F"/>
    <w:rsid w:val="00B27E72"/>
    <w:rsid w:val="00B400BB"/>
    <w:rsid w:val="00B40884"/>
    <w:rsid w:val="00B43335"/>
    <w:rsid w:val="00B45984"/>
    <w:rsid w:val="00B511F2"/>
    <w:rsid w:val="00B54648"/>
    <w:rsid w:val="00B54804"/>
    <w:rsid w:val="00B5488D"/>
    <w:rsid w:val="00B57041"/>
    <w:rsid w:val="00B60322"/>
    <w:rsid w:val="00B62194"/>
    <w:rsid w:val="00B6561F"/>
    <w:rsid w:val="00B66713"/>
    <w:rsid w:val="00B67D57"/>
    <w:rsid w:val="00B70B94"/>
    <w:rsid w:val="00B71583"/>
    <w:rsid w:val="00B72380"/>
    <w:rsid w:val="00B72B08"/>
    <w:rsid w:val="00B7336B"/>
    <w:rsid w:val="00B7542C"/>
    <w:rsid w:val="00B75806"/>
    <w:rsid w:val="00B80600"/>
    <w:rsid w:val="00B8243C"/>
    <w:rsid w:val="00B83642"/>
    <w:rsid w:val="00B8569E"/>
    <w:rsid w:val="00B86258"/>
    <w:rsid w:val="00B90931"/>
    <w:rsid w:val="00B92C77"/>
    <w:rsid w:val="00B92F9C"/>
    <w:rsid w:val="00B93DCC"/>
    <w:rsid w:val="00BA2F00"/>
    <w:rsid w:val="00BA6E76"/>
    <w:rsid w:val="00BC24B3"/>
    <w:rsid w:val="00BC2D3E"/>
    <w:rsid w:val="00BC3616"/>
    <w:rsid w:val="00BC3884"/>
    <w:rsid w:val="00BC3B65"/>
    <w:rsid w:val="00BC76BF"/>
    <w:rsid w:val="00BD0596"/>
    <w:rsid w:val="00BD1ABC"/>
    <w:rsid w:val="00BD3DDA"/>
    <w:rsid w:val="00BD5A8A"/>
    <w:rsid w:val="00BE0854"/>
    <w:rsid w:val="00BE2272"/>
    <w:rsid w:val="00BE53C8"/>
    <w:rsid w:val="00BE5FCA"/>
    <w:rsid w:val="00BE662A"/>
    <w:rsid w:val="00BE667C"/>
    <w:rsid w:val="00BF0070"/>
    <w:rsid w:val="00BF0104"/>
    <w:rsid w:val="00BF0850"/>
    <w:rsid w:val="00BF12D9"/>
    <w:rsid w:val="00BF2748"/>
    <w:rsid w:val="00BF2966"/>
    <w:rsid w:val="00BF353D"/>
    <w:rsid w:val="00BF3BA9"/>
    <w:rsid w:val="00BF459A"/>
    <w:rsid w:val="00BF5EBF"/>
    <w:rsid w:val="00C01681"/>
    <w:rsid w:val="00C02308"/>
    <w:rsid w:val="00C06BE1"/>
    <w:rsid w:val="00C102FA"/>
    <w:rsid w:val="00C133F5"/>
    <w:rsid w:val="00C150E0"/>
    <w:rsid w:val="00C201FB"/>
    <w:rsid w:val="00C2026C"/>
    <w:rsid w:val="00C20A61"/>
    <w:rsid w:val="00C20FEA"/>
    <w:rsid w:val="00C21D44"/>
    <w:rsid w:val="00C234B2"/>
    <w:rsid w:val="00C267A3"/>
    <w:rsid w:val="00C32C71"/>
    <w:rsid w:val="00C3309E"/>
    <w:rsid w:val="00C338CD"/>
    <w:rsid w:val="00C35BBC"/>
    <w:rsid w:val="00C3629B"/>
    <w:rsid w:val="00C36431"/>
    <w:rsid w:val="00C36F55"/>
    <w:rsid w:val="00C40797"/>
    <w:rsid w:val="00C45A19"/>
    <w:rsid w:val="00C45D92"/>
    <w:rsid w:val="00C4669D"/>
    <w:rsid w:val="00C51C64"/>
    <w:rsid w:val="00C52AC9"/>
    <w:rsid w:val="00C53ADF"/>
    <w:rsid w:val="00C54DF4"/>
    <w:rsid w:val="00C565A4"/>
    <w:rsid w:val="00C56D53"/>
    <w:rsid w:val="00C56E81"/>
    <w:rsid w:val="00C62604"/>
    <w:rsid w:val="00C629AE"/>
    <w:rsid w:val="00C6566C"/>
    <w:rsid w:val="00C71B80"/>
    <w:rsid w:val="00C72E41"/>
    <w:rsid w:val="00C7742D"/>
    <w:rsid w:val="00C8307A"/>
    <w:rsid w:val="00C86961"/>
    <w:rsid w:val="00C90671"/>
    <w:rsid w:val="00C91D88"/>
    <w:rsid w:val="00C95E9F"/>
    <w:rsid w:val="00C96EF1"/>
    <w:rsid w:val="00CA0E05"/>
    <w:rsid w:val="00CA16EF"/>
    <w:rsid w:val="00CA1861"/>
    <w:rsid w:val="00CA2085"/>
    <w:rsid w:val="00CA430D"/>
    <w:rsid w:val="00CA4A64"/>
    <w:rsid w:val="00CA7E82"/>
    <w:rsid w:val="00CB0BE4"/>
    <w:rsid w:val="00CB12B6"/>
    <w:rsid w:val="00CB565B"/>
    <w:rsid w:val="00CB5B10"/>
    <w:rsid w:val="00CB5D2C"/>
    <w:rsid w:val="00CB7106"/>
    <w:rsid w:val="00CC05A8"/>
    <w:rsid w:val="00CC126D"/>
    <w:rsid w:val="00CC2923"/>
    <w:rsid w:val="00CC5F2D"/>
    <w:rsid w:val="00CD086D"/>
    <w:rsid w:val="00CD4CAA"/>
    <w:rsid w:val="00CD67EB"/>
    <w:rsid w:val="00CD7960"/>
    <w:rsid w:val="00CE3141"/>
    <w:rsid w:val="00CE58FA"/>
    <w:rsid w:val="00CE66EC"/>
    <w:rsid w:val="00CE690C"/>
    <w:rsid w:val="00CE6AFC"/>
    <w:rsid w:val="00CF44A9"/>
    <w:rsid w:val="00CF524F"/>
    <w:rsid w:val="00CF73D2"/>
    <w:rsid w:val="00CF742E"/>
    <w:rsid w:val="00CF7D3B"/>
    <w:rsid w:val="00D01BC5"/>
    <w:rsid w:val="00D039F2"/>
    <w:rsid w:val="00D0691F"/>
    <w:rsid w:val="00D07095"/>
    <w:rsid w:val="00D138D3"/>
    <w:rsid w:val="00D14FB9"/>
    <w:rsid w:val="00D156A3"/>
    <w:rsid w:val="00D16927"/>
    <w:rsid w:val="00D175AB"/>
    <w:rsid w:val="00D21661"/>
    <w:rsid w:val="00D23A6D"/>
    <w:rsid w:val="00D241FA"/>
    <w:rsid w:val="00D24F61"/>
    <w:rsid w:val="00D2623D"/>
    <w:rsid w:val="00D2663D"/>
    <w:rsid w:val="00D27059"/>
    <w:rsid w:val="00D30135"/>
    <w:rsid w:val="00D31172"/>
    <w:rsid w:val="00D3294C"/>
    <w:rsid w:val="00D44090"/>
    <w:rsid w:val="00D51FE6"/>
    <w:rsid w:val="00D522E6"/>
    <w:rsid w:val="00D52314"/>
    <w:rsid w:val="00D52438"/>
    <w:rsid w:val="00D52A32"/>
    <w:rsid w:val="00D562DD"/>
    <w:rsid w:val="00D618B2"/>
    <w:rsid w:val="00D6590A"/>
    <w:rsid w:val="00D700B2"/>
    <w:rsid w:val="00D70B4E"/>
    <w:rsid w:val="00D70BC5"/>
    <w:rsid w:val="00D714B8"/>
    <w:rsid w:val="00D80791"/>
    <w:rsid w:val="00D82110"/>
    <w:rsid w:val="00D821C7"/>
    <w:rsid w:val="00D8312A"/>
    <w:rsid w:val="00D8755E"/>
    <w:rsid w:val="00D91A8B"/>
    <w:rsid w:val="00D92717"/>
    <w:rsid w:val="00D9340E"/>
    <w:rsid w:val="00D95A83"/>
    <w:rsid w:val="00D979BA"/>
    <w:rsid w:val="00DA32D6"/>
    <w:rsid w:val="00DA4462"/>
    <w:rsid w:val="00DA44BA"/>
    <w:rsid w:val="00DA70A3"/>
    <w:rsid w:val="00DB0A74"/>
    <w:rsid w:val="00DB17A2"/>
    <w:rsid w:val="00DB3BCC"/>
    <w:rsid w:val="00DB4E88"/>
    <w:rsid w:val="00DB6100"/>
    <w:rsid w:val="00DB6E51"/>
    <w:rsid w:val="00DB78F9"/>
    <w:rsid w:val="00DC3C8A"/>
    <w:rsid w:val="00DD1128"/>
    <w:rsid w:val="00DD17EF"/>
    <w:rsid w:val="00DD2056"/>
    <w:rsid w:val="00DD2E15"/>
    <w:rsid w:val="00DD3108"/>
    <w:rsid w:val="00DD4720"/>
    <w:rsid w:val="00DD7597"/>
    <w:rsid w:val="00DD77AD"/>
    <w:rsid w:val="00DE0FB9"/>
    <w:rsid w:val="00DE152F"/>
    <w:rsid w:val="00DE33B4"/>
    <w:rsid w:val="00DE487E"/>
    <w:rsid w:val="00DE490A"/>
    <w:rsid w:val="00DE6181"/>
    <w:rsid w:val="00DF1E54"/>
    <w:rsid w:val="00DF1FD1"/>
    <w:rsid w:val="00DF25C7"/>
    <w:rsid w:val="00DF49E1"/>
    <w:rsid w:val="00DF68E6"/>
    <w:rsid w:val="00DF77FD"/>
    <w:rsid w:val="00DF7BD1"/>
    <w:rsid w:val="00E00266"/>
    <w:rsid w:val="00E01628"/>
    <w:rsid w:val="00E070ED"/>
    <w:rsid w:val="00E07521"/>
    <w:rsid w:val="00E12882"/>
    <w:rsid w:val="00E129B0"/>
    <w:rsid w:val="00E143DA"/>
    <w:rsid w:val="00E14F5A"/>
    <w:rsid w:val="00E20371"/>
    <w:rsid w:val="00E23C83"/>
    <w:rsid w:val="00E248F6"/>
    <w:rsid w:val="00E269E4"/>
    <w:rsid w:val="00E304F0"/>
    <w:rsid w:val="00E31AE8"/>
    <w:rsid w:val="00E3390F"/>
    <w:rsid w:val="00E34217"/>
    <w:rsid w:val="00E36216"/>
    <w:rsid w:val="00E425D1"/>
    <w:rsid w:val="00E43934"/>
    <w:rsid w:val="00E443B0"/>
    <w:rsid w:val="00E44770"/>
    <w:rsid w:val="00E45665"/>
    <w:rsid w:val="00E457CC"/>
    <w:rsid w:val="00E45863"/>
    <w:rsid w:val="00E55A53"/>
    <w:rsid w:val="00E55D50"/>
    <w:rsid w:val="00E56854"/>
    <w:rsid w:val="00E6421B"/>
    <w:rsid w:val="00E6594F"/>
    <w:rsid w:val="00E6743D"/>
    <w:rsid w:val="00E74C94"/>
    <w:rsid w:val="00E74D02"/>
    <w:rsid w:val="00E76733"/>
    <w:rsid w:val="00E80570"/>
    <w:rsid w:val="00E85150"/>
    <w:rsid w:val="00E9229D"/>
    <w:rsid w:val="00E93885"/>
    <w:rsid w:val="00E954DE"/>
    <w:rsid w:val="00E9573D"/>
    <w:rsid w:val="00E9648E"/>
    <w:rsid w:val="00E9783C"/>
    <w:rsid w:val="00EA1A2F"/>
    <w:rsid w:val="00EA2959"/>
    <w:rsid w:val="00EA2F90"/>
    <w:rsid w:val="00EA3597"/>
    <w:rsid w:val="00EA35EC"/>
    <w:rsid w:val="00EA47C0"/>
    <w:rsid w:val="00EA7986"/>
    <w:rsid w:val="00EB134B"/>
    <w:rsid w:val="00EB15FB"/>
    <w:rsid w:val="00EB1C7E"/>
    <w:rsid w:val="00EB3DD8"/>
    <w:rsid w:val="00EB4DBF"/>
    <w:rsid w:val="00EB777F"/>
    <w:rsid w:val="00EB7CD2"/>
    <w:rsid w:val="00EC1CB6"/>
    <w:rsid w:val="00EC38CF"/>
    <w:rsid w:val="00EC4FC4"/>
    <w:rsid w:val="00EC530A"/>
    <w:rsid w:val="00EC6DB1"/>
    <w:rsid w:val="00ED111D"/>
    <w:rsid w:val="00ED3594"/>
    <w:rsid w:val="00ED3E23"/>
    <w:rsid w:val="00ED4ED9"/>
    <w:rsid w:val="00ED4F64"/>
    <w:rsid w:val="00ED65E7"/>
    <w:rsid w:val="00EE4643"/>
    <w:rsid w:val="00EE5052"/>
    <w:rsid w:val="00EE5C25"/>
    <w:rsid w:val="00EF3269"/>
    <w:rsid w:val="00EF6960"/>
    <w:rsid w:val="00F01869"/>
    <w:rsid w:val="00F064C2"/>
    <w:rsid w:val="00F071C3"/>
    <w:rsid w:val="00F165CE"/>
    <w:rsid w:val="00F166CC"/>
    <w:rsid w:val="00F1750B"/>
    <w:rsid w:val="00F20874"/>
    <w:rsid w:val="00F2205E"/>
    <w:rsid w:val="00F225A0"/>
    <w:rsid w:val="00F30684"/>
    <w:rsid w:val="00F32B57"/>
    <w:rsid w:val="00F3358C"/>
    <w:rsid w:val="00F33F8F"/>
    <w:rsid w:val="00F343E9"/>
    <w:rsid w:val="00F35187"/>
    <w:rsid w:val="00F35C10"/>
    <w:rsid w:val="00F405E6"/>
    <w:rsid w:val="00F42C44"/>
    <w:rsid w:val="00F42CE3"/>
    <w:rsid w:val="00F430D0"/>
    <w:rsid w:val="00F45384"/>
    <w:rsid w:val="00F46BD5"/>
    <w:rsid w:val="00F47EA7"/>
    <w:rsid w:val="00F506FC"/>
    <w:rsid w:val="00F509E7"/>
    <w:rsid w:val="00F533D5"/>
    <w:rsid w:val="00F54896"/>
    <w:rsid w:val="00F56532"/>
    <w:rsid w:val="00F56B92"/>
    <w:rsid w:val="00F56EFD"/>
    <w:rsid w:val="00F611C1"/>
    <w:rsid w:val="00F71124"/>
    <w:rsid w:val="00F72229"/>
    <w:rsid w:val="00F75646"/>
    <w:rsid w:val="00F7790E"/>
    <w:rsid w:val="00F80FDD"/>
    <w:rsid w:val="00F8563E"/>
    <w:rsid w:val="00F924ED"/>
    <w:rsid w:val="00F92DC6"/>
    <w:rsid w:val="00F96272"/>
    <w:rsid w:val="00FA3952"/>
    <w:rsid w:val="00FA510E"/>
    <w:rsid w:val="00FA5A5C"/>
    <w:rsid w:val="00FB36EE"/>
    <w:rsid w:val="00FB3929"/>
    <w:rsid w:val="00FB4EDA"/>
    <w:rsid w:val="00FB5A81"/>
    <w:rsid w:val="00FB5BB4"/>
    <w:rsid w:val="00FB5E69"/>
    <w:rsid w:val="00FC1EE3"/>
    <w:rsid w:val="00FC3994"/>
    <w:rsid w:val="00FD6FBD"/>
    <w:rsid w:val="00FD7EAA"/>
    <w:rsid w:val="00FE070F"/>
    <w:rsid w:val="00FE39E4"/>
    <w:rsid w:val="00FF06D2"/>
    <w:rsid w:val="00FF0E7F"/>
    <w:rsid w:val="00FF14D1"/>
    <w:rsid w:val="00FF19C4"/>
    <w:rsid w:val="00FF5B79"/>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8FE11"/>
  <w15:docId w15:val="{885717D1-6576-4A00-B8E0-4BA1E0A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067F"/>
    <w:pPr>
      <w:spacing w:before="120" w:after="120" w:line="240" w:lineRule="auto"/>
      <w:jc w:val="both"/>
    </w:pPr>
    <w:rPr>
      <w:rFonts w:ascii="Times New Roman" w:hAnsi="Times New Roman" w:cs="Times New Roman"/>
      <w:sz w:val="24"/>
      <w:lang w:val="sl-SI"/>
    </w:rPr>
  </w:style>
  <w:style w:type="paragraph" w:styleId="Naslov1">
    <w:name w:val="heading 1"/>
    <w:basedOn w:val="Navaden"/>
    <w:next w:val="Text1"/>
    <w:link w:val="Naslov1Znak"/>
    <w:uiPriority w:val="9"/>
    <w:qFormat/>
    <w:pPr>
      <w:keepNext/>
      <w:numPr>
        <w:numId w:val="18"/>
      </w:numPr>
      <w:spacing w:before="360"/>
      <w:outlineLvl w:val="0"/>
    </w:pPr>
    <w:rPr>
      <w:rFonts w:eastAsiaTheme="majorEastAsia"/>
      <w:b/>
      <w:bCs/>
      <w:smallCaps/>
      <w:szCs w:val="28"/>
    </w:rPr>
  </w:style>
  <w:style w:type="paragraph" w:styleId="Naslov2">
    <w:name w:val="heading 2"/>
    <w:basedOn w:val="Navaden"/>
    <w:next w:val="Text1"/>
    <w:link w:val="Naslov2Znak"/>
    <w:uiPriority w:val="9"/>
    <w:semiHidden/>
    <w:unhideWhenUsed/>
    <w:qFormat/>
    <w:pPr>
      <w:keepNext/>
      <w:numPr>
        <w:ilvl w:val="1"/>
        <w:numId w:val="18"/>
      </w:numPr>
      <w:outlineLvl w:val="1"/>
    </w:pPr>
    <w:rPr>
      <w:rFonts w:eastAsiaTheme="majorEastAsia"/>
      <w:b/>
      <w:bCs/>
      <w:szCs w:val="26"/>
    </w:rPr>
  </w:style>
  <w:style w:type="paragraph" w:styleId="Naslov3">
    <w:name w:val="heading 3"/>
    <w:basedOn w:val="Navaden"/>
    <w:next w:val="Text1"/>
    <w:link w:val="Naslov3Znak"/>
    <w:uiPriority w:val="9"/>
    <w:semiHidden/>
    <w:unhideWhenUsed/>
    <w:qFormat/>
    <w:pPr>
      <w:keepNext/>
      <w:numPr>
        <w:ilvl w:val="2"/>
        <w:numId w:val="18"/>
      </w:numPr>
      <w:outlineLvl w:val="2"/>
    </w:pPr>
    <w:rPr>
      <w:rFonts w:eastAsiaTheme="majorEastAsia"/>
      <w:bCs/>
      <w:i/>
    </w:rPr>
  </w:style>
  <w:style w:type="paragraph" w:styleId="Naslov4">
    <w:name w:val="heading 4"/>
    <w:basedOn w:val="Navaden"/>
    <w:next w:val="Text1"/>
    <w:link w:val="Naslov4Znak"/>
    <w:uiPriority w:val="9"/>
    <w:semiHidden/>
    <w:unhideWhenUsed/>
    <w:qFormat/>
    <w:pPr>
      <w:keepNext/>
      <w:numPr>
        <w:ilvl w:val="3"/>
        <w:numId w:val="18"/>
      </w:numPr>
      <w:outlineLvl w:val="3"/>
    </w:pPr>
    <w:rPr>
      <w:rFonts w:eastAsiaTheme="majorEastAsia"/>
      <w:bCs/>
      <w:iCs/>
    </w:rPr>
  </w:style>
  <w:style w:type="paragraph" w:styleId="Naslov5">
    <w:name w:val="heading 5"/>
    <w:basedOn w:val="Navaden"/>
    <w:next w:val="Text2"/>
    <w:link w:val="Naslov5Znak"/>
    <w:uiPriority w:val="9"/>
    <w:semiHidden/>
    <w:unhideWhenUsed/>
    <w:qFormat/>
    <w:pPr>
      <w:keepNext/>
      <w:numPr>
        <w:ilvl w:val="4"/>
        <w:numId w:val="18"/>
      </w:numPr>
      <w:outlineLvl w:val="4"/>
    </w:pPr>
    <w:rPr>
      <w:rFonts w:eastAsiaTheme="majorEastAsia"/>
    </w:rPr>
  </w:style>
  <w:style w:type="paragraph" w:styleId="Naslov6">
    <w:name w:val="heading 6"/>
    <w:basedOn w:val="Navaden"/>
    <w:next w:val="Text2"/>
    <w:link w:val="Naslov6Znak"/>
    <w:uiPriority w:val="9"/>
    <w:semiHidden/>
    <w:unhideWhenUsed/>
    <w:qFormat/>
    <w:pPr>
      <w:keepNext/>
      <w:numPr>
        <w:ilvl w:val="5"/>
        <w:numId w:val="18"/>
      </w:numPr>
      <w:outlineLvl w:val="5"/>
    </w:pPr>
    <w:rPr>
      <w:rFonts w:eastAsiaTheme="majorEastAsia"/>
      <w:iCs/>
    </w:rPr>
  </w:style>
  <w:style w:type="paragraph" w:styleId="Naslov7">
    <w:name w:val="heading 7"/>
    <w:basedOn w:val="Navaden"/>
    <w:next w:val="Text2"/>
    <w:link w:val="Naslov7Znak"/>
    <w:uiPriority w:val="9"/>
    <w:semiHidden/>
    <w:unhideWhenUsed/>
    <w:qFormat/>
    <w:pPr>
      <w:keepNext/>
      <w:numPr>
        <w:ilvl w:val="6"/>
        <w:numId w:val="18"/>
      </w:numPr>
      <w:outlineLvl w:val="6"/>
    </w:pPr>
    <w:rPr>
      <w:rFonts w:eastAsiaTheme="majorEastAsia"/>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87657F"/>
    <w:rPr>
      <w:sz w:val="16"/>
      <w:szCs w:val="16"/>
    </w:rPr>
  </w:style>
  <w:style w:type="paragraph" w:styleId="Pripombabesedilo">
    <w:name w:val="annotation text"/>
    <w:basedOn w:val="Navaden"/>
    <w:link w:val="PripombabesediloZnak"/>
    <w:uiPriority w:val="99"/>
    <w:unhideWhenUsed/>
    <w:rsid w:val="0087657F"/>
    <w:rPr>
      <w:sz w:val="20"/>
      <w:szCs w:val="20"/>
    </w:rPr>
  </w:style>
  <w:style w:type="character" w:customStyle="1" w:styleId="PripombabesediloZnak">
    <w:name w:val="Pripomba – besedilo Znak"/>
    <w:basedOn w:val="Privzetapisavaodstavka"/>
    <w:link w:val="Pripombabesedilo"/>
    <w:uiPriority w:val="99"/>
    <w:rsid w:val="0087657F"/>
    <w:rPr>
      <w:rFonts w:ascii="Times New Roman" w:hAnsi="Times New Roman" w:cs="Times New Roman"/>
      <w:sz w:val="20"/>
      <w:szCs w:val="20"/>
      <w:lang w:val="sl-SI"/>
    </w:rPr>
  </w:style>
  <w:style w:type="paragraph" w:styleId="Odstavekseznama">
    <w:name w:val="List Paragraph"/>
    <w:basedOn w:val="Navaden"/>
    <w:uiPriority w:val="34"/>
    <w:qFormat/>
    <w:rsid w:val="0087657F"/>
    <w:pPr>
      <w:ind w:left="720"/>
      <w:contextualSpacing/>
    </w:pPr>
  </w:style>
  <w:style w:type="table" w:styleId="Tabelamrea">
    <w:name w:val="Table Grid"/>
    <w:basedOn w:val="Navadnatabela"/>
    <w:uiPriority w:val="59"/>
    <w:rsid w:val="00876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87657F"/>
    <w:pPr>
      <w:spacing w:before="0" w:after="200"/>
    </w:pPr>
    <w:rPr>
      <w:i/>
      <w:iCs/>
      <w:color w:val="1F497D" w:themeColor="text2"/>
      <w:sz w:val="18"/>
      <w:szCs w:val="18"/>
    </w:rPr>
  </w:style>
  <w:style w:type="character" w:customStyle="1" w:styleId="Mention1">
    <w:name w:val="Mention1"/>
    <w:basedOn w:val="Privzetapisavaodstavka"/>
    <w:uiPriority w:val="99"/>
    <w:unhideWhenUsed/>
    <w:rsid w:val="0087657F"/>
    <w:rPr>
      <w:color w:val="2B579A"/>
      <w:shd w:val="clear" w:color="auto" w:fill="E6E6E6"/>
    </w:rPr>
  </w:style>
  <w:style w:type="table" w:styleId="Tabelasvetlamrea">
    <w:name w:val="Grid Table Light"/>
    <w:basedOn w:val="Navadnatabela"/>
    <w:uiPriority w:val="40"/>
    <w:rsid w:val="008765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87657F"/>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7657F"/>
    <w:rPr>
      <w:rFonts w:ascii="Segoe UI" w:hAnsi="Segoe UI" w:cs="Segoe UI"/>
      <w:sz w:val="18"/>
      <w:szCs w:val="18"/>
      <w:lang w:val="sl-SI"/>
    </w:rPr>
  </w:style>
  <w:style w:type="paragraph" w:styleId="Kazaloslik">
    <w:name w:val="table of figures"/>
    <w:basedOn w:val="Navaden"/>
    <w:next w:val="Navaden"/>
    <w:uiPriority w:val="99"/>
    <w:semiHidden/>
    <w:unhideWhenUsed/>
    <w:rsid w:val="00244A46"/>
    <w:pPr>
      <w:spacing w:after="0"/>
    </w:pPr>
  </w:style>
  <w:style w:type="paragraph" w:styleId="Oznaenseznam">
    <w:name w:val="List Bullet"/>
    <w:basedOn w:val="Navaden"/>
    <w:uiPriority w:val="99"/>
    <w:semiHidden/>
    <w:unhideWhenUsed/>
    <w:rsid w:val="00244A46"/>
    <w:pPr>
      <w:numPr>
        <w:numId w:val="1"/>
      </w:numPr>
      <w:contextualSpacing/>
    </w:pPr>
  </w:style>
  <w:style w:type="paragraph" w:styleId="Oznaenseznam2">
    <w:name w:val="List Bullet 2"/>
    <w:basedOn w:val="Navaden"/>
    <w:uiPriority w:val="99"/>
    <w:semiHidden/>
    <w:unhideWhenUsed/>
    <w:rsid w:val="00244A46"/>
    <w:pPr>
      <w:numPr>
        <w:numId w:val="2"/>
      </w:numPr>
      <w:contextualSpacing/>
    </w:pPr>
  </w:style>
  <w:style w:type="paragraph" w:styleId="Oznaenseznam3">
    <w:name w:val="List Bullet 3"/>
    <w:basedOn w:val="Navaden"/>
    <w:uiPriority w:val="99"/>
    <w:semiHidden/>
    <w:unhideWhenUsed/>
    <w:rsid w:val="00244A46"/>
    <w:pPr>
      <w:numPr>
        <w:numId w:val="3"/>
      </w:numPr>
      <w:contextualSpacing/>
    </w:pPr>
  </w:style>
  <w:style w:type="paragraph" w:styleId="Oznaenseznam4">
    <w:name w:val="List Bullet 4"/>
    <w:basedOn w:val="Navaden"/>
    <w:uiPriority w:val="99"/>
    <w:semiHidden/>
    <w:unhideWhenUsed/>
    <w:rsid w:val="00244A46"/>
    <w:pPr>
      <w:numPr>
        <w:numId w:val="4"/>
      </w:numPr>
      <w:contextualSpacing/>
    </w:pPr>
  </w:style>
  <w:style w:type="paragraph" w:styleId="Otevilenseznam">
    <w:name w:val="List Number"/>
    <w:basedOn w:val="Navaden"/>
    <w:uiPriority w:val="99"/>
    <w:semiHidden/>
    <w:unhideWhenUsed/>
    <w:rsid w:val="00244A46"/>
    <w:pPr>
      <w:numPr>
        <w:numId w:val="5"/>
      </w:numPr>
      <w:contextualSpacing/>
    </w:pPr>
  </w:style>
  <w:style w:type="paragraph" w:styleId="Otevilenseznam2">
    <w:name w:val="List Number 2"/>
    <w:basedOn w:val="Navaden"/>
    <w:uiPriority w:val="99"/>
    <w:semiHidden/>
    <w:unhideWhenUsed/>
    <w:rsid w:val="00244A46"/>
    <w:pPr>
      <w:numPr>
        <w:numId w:val="6"/>
      </w:numPr>
      <w:contextualSpacing/>
    </w:pPr>
  </w:style>
  <w:style w:type="paragraph" w:styleId="Otevilenseznam3">
    <w:name w:val="List Number 3"/>
    <w:basedOn w:val="Navaden"/>
    <w:uiPriority w:val="99"/>
    <w:semiHidden/>
    <w:unhideWhenUsed/>
    <w:rsid w:val="00244A46"/>
    <w:pPr>
      <w:numPr>
        <w:numId w:val="7"/>
      </w:numPr>
      <w:contextualSpacing/>
    </w:pPr>
  </w:style>
  <w:style w:type="paragraph" w:styleId="Otevilenseznam4">
    <w:name w:val="List Number 4"/>
    <w:basedOn w:val="Navaden"/>
    <w:uiPriority w:val="99"/>
    <w:semiHidden/>
    <w:unhideWhenUsed/>
    <w:rsid w:val="00244A46"/>
    <w:pPr>
      <w:numPr>
        <w:numId w:val="8"/>
      </w:numPr>
      <w:contextualSpacing/>
    </w:pPr>
  </w:style>
  <w:style w:type="paragraph" w:styleId="Revizija">
    <w:name w:val="Revision"/>
    <w:hidden/>
    <w:uiPriority w:val="99"/>
    <w:semiHidden/>
    <w:rsid w:val="00C8307A"/>
    <w:pPr>
      <w:spacing w:after="0" w:line="240" w:lineRule="auto"/>
    </w:pPr>
    <w:rPr>
      <w:rFonts w:ascii="Times New Roman" w:hAnsi="Times New Roman" w:cs="Times New Roman"/>
      <w:sz w:val="24"/>
    </w:rPr>
  </w:style>
  <w:style w:type="paragraph" w:styleId="Zadevapripombe">
    <w:name w:val="annotation subject"/>
    <w:basedOn w:val="Pripombabesedilo"/>
    <w:next w:val="Pripombabesedilo"/>
    <w:link w:val="ZadevapripombeZnak"/>
    <w:uiPriority w:val="99"/>
    <w:semiHidden/>
    <w:unhideWhenUsed/>
    <w:rsid w:val="00AD502C"/>
    <w:rPr>
      <w:b/>
      <w:bCs/>
    </w:rPr>
  </w:style>
  <w:style w:type="character" w:customStyle="1" w:styleId="ZadevapripombeZnak">
    <w:name w:val="Zadeva pripombe Znak"/>
    <w:basedOn w:val="PripombabesediloZnak"/>
    <w:link w:val="Zadevapripombe"/>
    <w:uiPriority w:val="99"/>
    <w:semiHidden/>
    <w:rsid w:val="00AD502C"/>
    <w:rPr>
      <w:rFonts w:ascii="Times New Roman" w:hAnsi="Times New Roman" w:cs="Times New Roman"/>
      <w:b/>
      <w:bCs/>
      <w:sz w:val="20"/>
      <w:szCs w:val="20"/>
      <w:lang w:val="sl-SI"/>
    </w:rPr>
  </w:style>
  <w:style w:type="character" w:styleId="Hiperpovezava">
    <w:name w:val="Hyperlink"/>
    <w:basedOn w:val="Privzetapisavaodstavka"/>
    <w:uiPriority w:val="99"/>
    <w:unhideWhenUsed/>
    <w:rsid w:val="00AD502C"/>
    <w:rPr>
      <w:color w:val="0000FF" w:themeColor="hyperlink"/>
      <w:u w:val="single"/>
    </w:rPr>
  </w:style>
  <w:style w:type="table" w:styleId="Tabelasvetlamrea1">
    <w:name w:val="Grid Table 1 Light"/>
    <w:basedOn w:val="Navadnatabela"/>
    <w:uiPriority w:val="46"/>
    <w:rsid w:val="00AD50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vetelseznam1">
    <w:name w:val="List Table 1 Light"/>
    <w:basedOn w:val="Navadnatabela"/>
    <w:uiPriority w:val="46"/>
    <w:rsid w:val="00AD502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Navadnatabela1">
    <w:name w:val="Plain Table 1"/>
    <w:basedOn w:val="Navadnatabela"/>
    <w:uiPriority w:val="41"/>
    <w:rsid w:val="00AD50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uiPriority w:val="99"/>
    <w:semiHidden/>
    <w:unhideWhenUsed/>
    <w:rsid w:val="00141E24"/>
    <w:rPr>
      <w:color w:val="800080" w:themeColor="followedHyperlink"/>
      <w:u w:val="single"/>
    </w:rPr>
  </w:style>
  <w:style w:type="paragraph" w:styleId="Glava">
    <w:name w:val="header"/>
    <w:basedOn w:val="Navaden"/>
    <w:link w:val="GlavaZnak"/>
    <w:uiPriority w:val="99"/>
    <w:unhideWhenUsed/>
    <w:rsid w:val="00AF2362"/>
    <w:pPr>
      <w:tabs>
        <w:tab w:val="center" w:pos="4535"/>
        <w:tab w:val="right" w:pos="9071"/>
      </w:tabs>
      <w:spacing w:before="0"/>
    </w:pPr>
  </w:style>
  <w:style w:type="character" w:customStyle="1" w:styleId="GlavaZnak">
    <w:name w:val="Glava Znak"/>
    <w:basedOn w:val="Privzetapisavaodstavka"/>
    <w:link w:val="Glava"/>
    <w:uiPriority w:val="99"/>
    <w:rsid w:val="00AF2362"/>
    <w:rPr>
      <w:rFonts w:ascii="Times New Roman" w:hAnsi="Times New Roman" w:cs="Times New Roman"/>
      <w:sz w:val="24"/>
      <w:lang w:val="sl-SI"/>
    </w:rPr>
  </w:style>
  <w:style w:type="paragraph" w:styleId="Noga">
    <w:name w:val="footer"/>
    <w:basedOn w:val="Navaden"/>
    <w:link w:val="NogaZnak"/>
    <w:uiPriority w:val="99"/>
    <w:unhideWhenUsed/>
    <w:rsid w:val="00AF2362"/>
    <w:pPr>
      <w:tabs>
        <w:tab w:val="center" w:pos="4535"/>
        <w:tab w:val="right" w:pos="9071"/>
        <w:tab w:val="right" w:pos="9921"/>
      </w:tabs>
      <w:spacing w:before="360" w:after="0"/>
      <w:ind w:left="-850" w:right="-850"/>
      <w:jc w:val="left"/>
    </w:pPr>
  </w:style>
  <w:style w:type="character" w:customStyle="1" w:styleId="NogaZnak">
    <w:name w:val="Noga Znak"/>
    <w:basedOn w:val="Privzetapisavaodstavka"/>
    <w:link w:val="Noga"/>
    <w:uiPriority w:val="99"/>
    <w:rsid w:val="00AF2362"/>
    <w:rPr>
      <w:rFonts w:ascii="Times New Roman" w:hAnsi="Times New Roman" w:cs="Times New Roman"/>
      <w:sz w:val="24"/>
      <w:lang w:val="sl-SI"/>
    </w:rPr>
  </w:style>
  <w:style w:type="paragraph" w:styleId="Sprotnaopomba-besedilo">
    <w:name w:val="footnote text"/>
    <w:basedOn w:val="Navaden"/>
    <w:link w:val="Sprotnaopomba-besediloZnak"/>
    <w:uiPriority w:val="99"/>
    <w:semiHidden/>
    <w:unhideWhenUsed/>
    <w:pPr>
      <w:spacing w:before="0" w:after="0"/>
      <w:ind w:left="720" w:hanging="720"/>
    </w:pPr>
    <w:rPr>
      <w:sz w:val="20"/>
      <w:szCs w:val="20"/>
    </w:rPr>
  </w:style>
  <w:style w:type="character" w:customStyle="1" w:styleId="Sprotnaopomba-besediloZnak">
    <w:name w:val="Sprotna opomba - besedilo Znak"/>
    <w:basedOn w:val="Privzetapisavaodstavka"/>
    <w:link w:val="Sprotnaopomba-besedilo"/>
    <w:uiPriority w:val="99"/>
    <w:semiHidden/>
    <w:rPr>
      <w:rFonts w:ascii="Times New Roman" w:hAnsi="Times New Roman" w:cs="Times New Roman"/>
      <w:sz w:val="20"/>
      <w:szCs w:val="20"/>
      <w:shd w:val="clear" w:color="auto" w:fill="auto"/>
      <w:lang w:val="en-GB"/>
    </w:rPr>
  </w:style>
  <w:style w:type="character" w:customStyle="1" w:styleId="Naslov1Znak">
    <w:name w:val="Naslov 1 Znak"/>
    <w:basedOn w:val="Privzetapisavaodstavka"/>
    <w:link w:val="Naslov1"/>
    <w:uiPriority w:val="9"/>
    <w:rPr>
      <w:rFonts w:ascii="Times New Roman" w:eastAsiaTheme="majorEastAsia" w:hAnsi="Times New Roman" w:cs="Times New Roman"/>
      <w:b/>
      <w:bCs/>
      <w:smallCaps/>
      <w:sz w:val="24"/>
      <w:szCs w:val="28"/>
      <w:lang w:val="sl-SI"/>
    </w:rPr>
  </w:style>
  <w:style w:type="character" w:customStyle="1" w:styleId="Naslov2Znak">
    <w:name w:val="Naslov 2 Znak"/>
    <w:basedOn w:val="Privzetapisavaodstavka"/>
    <w:link w:val="Naslov2"/>
    <w:uiPriority w:val="9"/>
    <w:semiHidden/>
    <w:rPr>
      <w:rFonts w:ascii="Times New Roman" w:eastAsiaTheme="majorEastAsia" w:hAnsi="Times New Roman" w:cs="Times New Roman"/>
      <w:b/>
      <w:bCs/>
      <w:sz w:val="24"/>
      <w:szCs w:val="26"/>
      <w:lang w:val="sl-SI"/>
    </w:rPr>
  </w:style>
  <w:style w:type="character" w:customStyle="1" w:styleId="Naslov3Znak">
    <w:name w:val="Naslov 3 Znak"/>
    <w:basedOn w:val="Privzetapisavaodstavka"/>
    <w:link w:val="Naslov3"/>
    <w:uiPriority w:val="9"/>
    <w:semiHidden/>
    <w:rPr>
      <w:rFonts w:ascii="Times New Roman" w:eastAsiaTheme="majorEastAsia" w:hAnsi="Times New Roman" w:cs="Times New Roman"/>
      <w:bCs/>
      <w:i/>
      <w:sz w:val="24"/>
      <w:lang w:val="sl-SI"/>
    </w:rPr>
  </w:style>
  <w:style w:type="character" w:customStyle="1" w:styleId="Naslov4Znak">
    <w:name w:val="Naslov 4 Znak"/>
    <w:basedOn w:val="Privzetapisavaodstavka"/>
    <w:link w:val="Naslov4"/>
    <w:uiPriority w:val="9"/>
    <w:semiHidden/>
    <w:rPr>
      <w:rFonts w:ascii="Times New Roman" w:eastAsiaTheme="majorEastAsia" w:hAnsi="Times New Roman" w:cs="Times New Roman"/>
      <w:bCs/>
      <w:iCs/>
      <w:sz w:val="24"/>
      <w:lang w:val="sl-SI"/>
    </w:rPr>
  </w:style>
  <w:style w:type="character" w:customStyle="1" w:styleId="Naslov5Znak">
    <w:name w:val="Naslov 5 Znak"/>
    <w:basedOn w:val="Privzetapisavaodstavka"/>
    <w:link w:val="Naslov5"/>
    <w:uiPriority w:val="9"/>
    <w:semiHidden/>
    <w:rPr>
      <w:rFonts w:ascii="Times New Roman" w:eastAsiaTheme="majorEastAsia" w:hAnsi="Times New Roman" w:cs="Times New Roman"/>
      <w:sz w:val="24"/>
      <w:lang w:val="sl-SI"/>
    </w:rPr>
  </w:style>
  <w:style w:type="character" w:customStyle="1" w:styleId="Naslov6Znak">
    <w:name w:val="Naslov 6 Znak"/>
    <w:basedOn w:val="Privzetapisavaodstavka"/>
    <w:link w:val="Naslov6"/>
    <w:uiPriority w:val="9"/>
    <w:semiHidden/>
    <w:rPr>
      <w:rFonts w:ascii="Times New Roman" w:eastAsiaTheme="majorEastAsia" w:hAnsi="Times New Roman" w:cs="Times New Roman"/>
      <w:iCs/>
      <w:sz w:val="24"/>
      <w:lang w:val="sl-SI"/>
    </w:rPr>
  </w:style>
  <w:style w:type="character" w:customStyle="1" w:styleId="Naslov7Znak">
    <w:name w:val="Naslov 7 Znak"/>
    <w:basedOn w:val="Privzetapisavaodstavka"/>
    <w:link w:val="Naslov7"/>
    <w:uiPriority w:val="9"/>
    <w:semiHidden/>
    <w:rPr>
      <w:rFonts w:ascii="Times New Roman" w:eastAsiaTheme="majorEastAsia" w:hAnsi="Times New Roman" w:cs="Times New Roman"/>
      <w:iCs/>
      <w:sz w:val="24"/>
      <w:lang w:val="sl-SI"/>
    </w:rPr>
  </w:style>
  <w:style w:type="paragraph" w:styleId="NaslovTOC">
    <w:name w:val="TOC Heading"/>
    <w:basedOn w:val="Navaden"/>
    <w:next w:val="Navaden"/>
    <w:uiPriority w:val="39"/>
    <w:semiHidden/>
    <w:unhideWhenUsed/>
    <w:qFormat/>
    <w:pPr>
      <w:spacing w:after="240"/>
      <w:jc w:val="center"/>
    </w:pPr>
    <w:rPr>
      <w:b/>
      <w:sz w:val="28"/>
    </w:rPr>
  </w:style>
  <w:style w:type="paragraph" w:styleId="Kazalovsebine1">
    <w:name w:val="toc 1"/>
    <w:basedOn w:val="Navaden"/>
    <w:next w:val="Navaden"/>
    <w:uiPriority w:val="39"/>
    <w:semiHidden/>
    <w:unhideWhenUsed/>
    <w:pPr>
      <w:tabs>
        <w:tab w:val="right" w:leader="dot" w:pos="9071"/>
      </w:tabs>
      <w:spacing w:before="60"/>
      <w:ind w:left="850" w:hanging="850"/>
      <w:jc w:val="left"/>
    </w:pPr>
  </w:style>
  <w:style w:type="paragraph" w:styleId="Kazalovsebine2">
    <w:name w:val="toc 2"/>
    <w:basedOn w:val="Navaden"/>
    <w:next w:val="Navaden"/>
    <w:uiPriority w:val="39"/>
    <w:semiHidden/>
    <w:unhideWhenUsed/>
    <w:pPr>
      <w:tabs>
        <w:tab w:val="right" w:leader="dot" w:pos="9071"/>
      </w:tabs>
      <w:spacing w:before="60"/>
      <w:ind w:left="850" w:hanging="850"/>
      <w:jc w:val="left"/>
    </w:pPr>
  </w:style>
  <w:style w:type="paragraph" w:styleId="Kazalovsebine3">
    <w:name w:val="toc 3"/>
    <w:basedOn w:val="Navaden"/>
    <w:next w:val="Navaden"/>
    <w:uiPriority w:val="39"/>
    <w:semiHidden/>
    <w:unhideWhenUsed/>
    <w:pPr>
      <w:tabs>
        <w:tab w:val="right" w:leader="dot" w:pos="9071"/>
      </w:tabs>
      <w:spacing w:before="60"/>
      <w:ind w:left="850" w:hanging="850"/>
      <w:jc w:val="left"/>
    </w:pPr>
  </w:style>
  <w:style w:type="paragraph" w:styleId="Kazalovsebine4">
    <w:name w:val="toc 4"/>
    <w:basedOn w:val="Navaden"/>
    <w:next w:val="Navaden"/>
    <w:uiPriority w:val="39"/>
    <w:semiHidden/>
    <w:unhideWhenUsed/>
    <w:pPr>
      <w:tabs>
        <w:tab w:val="right" w:leader="dot" w:pos="9071"/>
      </w:tabs>
      <w:spacing w:before="60"/>
      <w:ind w:left="850" w:hanging="850"/>
      <w:jc w:val="left"/>
    </w:pPr>
  </w:style>
  <w:style w:type="paragraph" w:styleId="Kazalovsebine5">
    <w:name w:val="toc 5"/>
    <w:basedOn w:val="Navaden"/>
    <w:next w:val="Navaden"/>
    <w:uiPriority w:val="39"/>
    <w:semiHidden/>
    <w:unhideWhenUsed/>
    <w:pPr>
      <w:tabs>
        <w:tab w:val="right" w:leader="dot" w:pos="9071"/>
      </w:tabs>
      <w:spacing w:before="300"/>
      <w:jc w:val="left"/>
    </w:pPr>
  </w:style>
  <w:style w:type="paragraph" w:styleId="Kazalovsebine6">
    <w:name w:val="toc 6"/>
    <w:basedOn w:val="Navaden"/>
    <w:next w:val="Navaden"/>
    <w:uiPriority w:val="39"/>
    <w:semiHidden/>
    <w:unhideWhenUsed/>
    <w:pPr>
      <w:tabs>
        <w:tab w:val="right" w:leader="dot" w:pos="9071"/>
      </w:tabs>
      <w:spacing w:before="240"/>
      <w:jc w:val="left"/>
    </w:pPr>
  </w:style>
  <w:style w:type="paragraph" w:styleId="Kazalovsebine7">
    <w:name w:val="toc 7"/>
    <w:basedOn w:val="Navaden"/>
    <w:next w:val="Navaden"/>
    <w:uiPriority w:val="39"/>
    <w:semiHidden/>
    <w:unhideWhenUsed/>
    <w:pPr>
      <w:tabs>
        <w:tab w:val="right" w:leader="dot" w:pos="9071"/>
      </w:tabs>
      <w:spacing w:before="180"/>
      <w:jc w:val="left"/>
    </w:pPr>
  </w:style>
  <w:style w:type="paragraph" w:styleId="Kazalovsebine8">
    <w:name w:val="toc 8"/>
    <w:basedOn w:val="Navaden"/>
    <w:next w:val="Navaden"/>
    <w:uiPriority w:val="39"/>
    <w:semiHidden/>
    <w:unhideWhenUsed/>
    <w:pPr>
      <w:tabs>
        <w:tab w:val="right" w:leader="dot" w:pos="9071"/>
      </w:tabs>
      <w:jc w:val="left"/>
    </w:pPr>
  </w:style>
  <w:style w:type="paragraph" w:styleId="Kazalovsebine9">
    <w:name w:val="toc 9"/>
    <w:basedOn w:val="Navaden"/>
    <w:next w:val="Navaden"/>
    <w:uiPriority w:val="39"/>
    <w:semiHidden/>
    <w:unhideWhenUsed/>
    <w:pPr>
      <w:tabs>
        <w:tab w:val="right" w:leader="dot" w:pos="9071"/>
      </w:tabs>
      <w:ind w:left="1417" w:hanging="1417"/>
      <w:jc w:val="left"/>
    </w:pPr>
  </w:style>
  <w:style w:type="paragraph" w:customStyle="1" w:styleId="HeaderLandscape">
    <w:name w:val="HeaderLandscape"/>
    <w:basedOn w:val="Navaden"/>
    <w:rsid w:val="00AF2362"/>
    <w:pPr>
      <w:tabs>
        <w:tab w:val="center" w:pos="7285"/>
        <w:tab w:val="right" w:pos="14003"/>
      </w:tabs>
      <w:spacing w:before="0"/>
    </w:pPr>
  </w:style>
  <w:style w:type="paragraph" w:customStyle="1" w:styleId="FooterLandscape">
    <w:name w:val="FooterLandscape"/>
    <w:basedOn w:val="Navaden"/>
    <w:rsid w:val="00AF2362"/>
    <w:pPr>
      <w:tabs>
        <w:tab w:val="center" w:pos="7285"/>
        <w:tab w:val="center" w:pos="10913"/>
        <w:tab w:val="right" w:pos="15137"/>
      </w:tabs>
      <w:spacing w:before="360" w:after="0"/>
      <w:ind w:left="-567" w:right="-567"/>
      <w:jc w:val="left"/>
    </w:pPr>
  </w:style>
  <w:style w:type="character" w:styleId="Sprotnaopomba-sklic">
    <w:name w:val="footnote reference"/>
    <w:basedOn w:val="Privzetapisavaodstavka"/>
    <w:uiPriority w:val="99"/>
    <w:semiHidden/>
    <w:unhideWhenUsed/>
    <w:rPr>
      <w:shd w:val="clear" w:color="auto" w:fill="auto"/>
      <w:vertAlign w:val="superscript"/>
    </w:rPr>
  </w:style>
  <w:style w:type="paragraph" w:customStyle="1" w:styleId="HeaderSensitivity">
    <w:name w:val="Header Sensitivity"/>
    <w:basedOn w:val="Navaden"/>
    <w:rsid w:val="00AF236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avaden"/>
    <w:rsid w:val="00AF2362"/>
    <w:pPr>
      <w:spacing w:before="0"/>
      <w:jc w:val="right"/>
    </w:pPr>
    <w:rPr>
      <w:sz w:val="28"/>
    </w:rPr>
  </w:style>
  <w:style w:type="paragraph" w:customStyle="1" w:styleId="FooterSensitivity">
    <w:name w:val="Footer Sensitivity"/>
    <w:basedOn w:val="Navaden"/>
    <w:rsid w:val="00AF236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avaden"/>
    <w:pPr>
      <w:ind w:left="850"/>
    </w:pPr>
  </w:style>
  <w:style w:type="paragraph" w:customStyle="1" w:styleId="Text2">
    <w:name w:val="Text 2"/>
    <w:basedOn w:val="Navaden"/>
    <w:pPr>
      <w:ind w:left="1417"/>
    </w:pPr>
  </w:style>
  <w:style w:type="paragraph" w:customStyle="1" w:styleId="Text3">
    <w:name w:val="Text 3"/>
    <w:basedOn w:val="Navaden"/>
    <w:pPr>
      <w:ind w:left="1984"/>
    </w:pPr>
  </w:style>
  <w:style w:type="paragraph" w:customStyle="1" w:styleId="Text4">
    <w:name w:val="Text 4"/>
    <w:basedOn w:val="Navaden"/>
    <w:pPr>
      <w:ind w:left="2551"/>
    </w:pPr>
  </w:style>
  <w:style w:type="paragraph" w:customStyle="1" w:styleId="Text5">
    <w:name w:val="Text 5"/>
    <w:basedOn w:val="Navaden"/>
    <w:pPr>
      <w:ind w:left="3118"/>
    </w:pPr>
  </w:style>
  <w:style w:type="paragraph" w:customStyle="1" w:styleId="Text6">
    <w:name w:val="Text 6"/>
    <w:basedOn w:val="Navaden"/>
    <w:pPr>
      <w:ind w:left="3685"/>
    </w:pPr>
  </w:style>
  <w:style w:type="paragraph" w:customStyle="1" w:styleId="NormalCentered">
    <w:name w:val="Normal Centered"/>
    <w:basedOn w:val="Navaden"/>
    <w:pPr>
      <w:jc w:val="center"/>
    </w:pPr>
  </w:style>
  <w:style w:type="paragraph" w:customStyle="1" w:styleId="NormalLeft">
    <w:name w:val="Normal Left"/>
    <w:basedOn w:val="Navaden"/>
    <w:pPr>
      <w:jc w:val="left"/>
    </w:pPr>
  </w:style>
  <w:style w:type="paragraph" w:customStyle="1" w:styleId="NormalRight">
    <w:name w:val="Normal Right"/>
    <w:basedOn w:val="Navaden"/>
    <w:pPr>
      <w:jc w:val="right"/>
    </w:pPr>
  </w:style>
  <w:style w:type="paragraph" w:customStyle="1" w:styleId="QuotedText">
    <w:name w:val="Quoted Text"/>
    <w:basedOn w:val="Navaden"/>
    <w:pPr>
      <w:ind w:left="1417"/>
    </w:pPr>
  </w:style>
  <w:style w:type="paragraph" w:customStyle="1" w:styleId="Point0">
    <w:name w:val="Point 0"/>
    <w:basedOn w:val="Navaden"/>
    <w:pPr>
      <w:ind w:left="850" w:hanging="850"/>
    </w:pPr>
  </w:style>
  <w:style w:type="paragraph" w:customStyle="1" w:styleId="Point1">
    <w:name w:val="Point 1"/>
    <w:basedOn w:val="Navaden"/>
    <w:pPr>
      <w:ind w:left="1417" w:hanging="567"/>
    </w:pPr>
  </w:style>
  <w:style w:type="paragraph" w:customStyle="1" w:styleId="Point2">
    <w:name w:val="Point 2"/>
    <w:basedOn w:val="Navaden"/>
    <w:pPr>
      <w:ind w:left="1984" w:hanging="567"/>
    </w:pPr>
  </w:style>
  <w:style w:type="paragraph" w:customStyle="1" w:styleId="Point3">
    <w:name w:val="Point 3"/>
    <w:basedOn w:val="Navaden"/>
    <w:pPr>
      <w:ind w:left="2551" w:hanging="567"/>
    </w:pPr>
  </w:style>
  <w:style w:type="paragraph" w:customStyle="1" w:styleId="Point4">
    <w:name w:val="Point 4"/>
    <w:basedOn w:val="Navaden"/>
    <w:pPr>
      <w:ind w:left="3118" w:hanging="567"/>
    </w:pPr>
  </w:style>
  <w:style w:type="paragraph" w:customStyle="1" w:styleId="Point5">
    <w:name w:val="Point 5"/>
    <w:basedOn w:val="Navaden"/>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avaden"/>
    <w:pPr>
      <w:tabs>
        <w:tab w:val="left" w:pos="850"/>
      </w:tabs>
      <w:ind w:left="1417" w:hanging="1417"/>
    </w:pPr>
  </w:style>
  <w:style w:type="paragraph" w:customStyle="1" w:styleId="PointDouble1">
    <w:name w:val="PointDouble 1"/>
    <w:basedOn w:val="Navaden"/>
    <w:pPr>
      <w:tabs>
        <w:tab w:val="left" w:pos="1417"/>
      </w:tabs>
      <w:ind w:left="1984" w:hanging="1134"/>
    </w:pPr>
  </w:style>
  <w:style w:type="paragraph" w:customStyle="1" w:styleId="PointDouble2">
    <w:name w:val="PointDouble 2"/>
    <w:basedOn w:val="Navaden"/>
    <w:pPr>
      <w:tabs>
        <w:tab w:val="left" w:pos="1984"/>
      </w:tabs>
      <w:ind w:left="2551" w:hanging="1134"/>
    </w:pPr>
  </w:style>
  <w:style w:type="paragraph" w:customStyle="1" w:styleId="PointDouble3">
    <w:name w:val="PointDouble 3"/>
    <w:basedOn w:val="Navaden"/>
    <w:pPr>
      <w:tabs>
        <w:tab w:val="left" w:pos="2551"/>
      </w:tabs>
      <w:ind w:left="3118" w:hanging="1134"/>
    </w:pPr>
  </w:style>
  <w:style w:type="paragraph" w:customStyle="1" w:styleId="PointDouble4">
    <w:name w:val="PointDouble 4"/>
    <w:basedOn w:val="Navaden"/>
    <w:pPr>
      <w:tabs>
        <w:tab w:val="left" w:pos="3118"/>
      </w:tabs>
      <w:ind w:left="3685" w:hanging="1134"/>
    </w:pPr>
  </w:style>
  <w:style w:type="paragraph" w:customStyle="1" w:styleId="PointTriple0">
    <w:name w:val="PointTriple 0"/>
    <w:basedOn w:val="Navaden"/>
    <w:pPr>
      <w:tabs>
        <w:tab w:val="left" w:pos="850"/>
        <w:tab w:val="left" w:pos="1417"/>
      </w:tabs>
      <w:ind w:left="1984" w:hanging="1984"/>
    </w:pPr>
  </w:style>
  <w:style w:type="paragraph" w:customStyle="1" w:styleId="PointTriple1">
    <w:name w:val="PointTriple 1"/>
    <w:basedOn w:val="Navaden"/>
    <w:pPr>
      <w:tabs>
        <w:tab w:val="left" w:pos="1417"/>
        <w:tab w:val="left" w:pos="1984"/>
      </w:tabs>
      <w:ind w:left="2551" w:hanging="1701"/>
    </w:pPr>
  </w:style>
  <w:style w:type="paragraph" w:customStyle="1" w:styleId="PointTriple2">
    <w:name w:val="PointTriple 2"/>
    <w:basedOn w:val="Navaden"/>
    <w:pPr>
      <w:tabs>
        <w:tab w:val="left" w:pos="1984"/>
        <w:tab w:val="left" w:pos="2551"/>
      </w:tabs>
      <w:ind w:left="3118" w:hanging="1701"/>
    </w:pPr>
  </w:style>
  <w:style w:type="paragraph" w:customStyle="1" w:styleId="PointTriple3">
    <w:name w:val="PointTriple 3"/>
    <w:basedOn w:val="Navaden"/>
    <w:pPr>
      <w:tabs>
        <w:tab w:val="left" w:pos="2551"/>
        <w:tab w:val="left" w:pos="3118"/>
      </w:tabs>
      <w:ind w:left="3685" w:hanging="1701"/>
    </w:pPr>
  </w:style>
  <w:style w:type="paragraph" w:customStyle="1" w:styleId="PointTriple4">
    <w:name w:val="PointTriple 4"/>
    <w:basedOn w:val="Navaden"/>
    <w:pPr>
      <w:tabs>
        <w:tab w:val="left" w:pos="3118"/>
        <w:tab w:val="left" w:pos="3685"/>
      </w:tabs>
      <w:ind w:left="4252" w:hanging="1701"/>
    </w:pPr>
  </w:style>
  <w:style w:type="paragraph" w:customStyle="1" w:styleId="NumPar1">
    <w:name w:val="NumPar 1"/>
    <w:basedOn w:val="Navaden"/>
    <w:next w:val="Text1"/>
    <w:pPr>
      <w:numPr>
        <w:numId w:val="17"/>
      </w:numPr>
    </w:pPr>
  </w:style>
  <w:style w:type="paragraph" w:customStyle="1" w:styleId="NumPar2">
    <w:name w:val="NumPar 2"/>
    <w:basedOn w:val="Navaden"/>
    <w:next w:val="Text1"/>
    <w:pPr>
      <w:numPr>
        <w:ilvl w:val="1"/>
        <w:numId w:val="17"/>
      </w:numPr>
    </w:pPr>
  </w:style>
  <w:style w:type="paragraph" w:customStyle="1" w:styleId="NumPar3">
    <w:name w:val="NumPar 3"/>
    <w:basedOn w:val="Navaden"/>
    <w:next w:val="Text1"/>
    <w:pPr>
      <w:numPr>
        <w:ilvl w:val="2"/>
        <w:numId w:val="17"/>
      </w:numPr>
    </w:pPr>
  </w:style>
  <w:style w:type="paragraph" w:customStyle="1" w:styleId="NumPar4">
    <w:name w:val="NumPar 4"/>
    <w:basedOn w:val="Navaden"/>
    <w:next w:val="Text1"/>
    <w:pPr>
      <w:numPr>
        <w:ilvl w:val="3"/>
        <w:numId w:val="17"/>
      </w:numPr>
    </w:pPr>
  </w:style>
  <w:style w:type="paragraph" w:customStyle="1" w:styleId="NumPar5">
    <w:name w:val="NumPar 5"/>
    <w:basedOn w:val="Navaden"/>
    <w:next w:val="Text2"/>
    <w:pPr>
      <w:numPr>
        <w:ilvl w:val="4"/>
        <w:numId w:val="17"/>
      </w:numPr>
    </w:pPr>
  </w:style>
  <w:style w:type="paragraph" w:customStyle="1" w:styleId="NumPar6">
    <w:name w:val="NumPar 6"/>
    <w:basedOn w:val="Navaden"/>
    <w:next w:val="Text2"/>
    <w:pPr>
      <w:numPr>
        <w:ilvl w:val="5"/>
        <w:numId w:val="17"/>
      </w:numPr>
    </w:pPr>
  </w:style>
  <w:style w:type="paragraph" w:customStyle="1" w:styleId="NumPar7">
    <w:name w:val="NumPar 7"/>
    <w:basedOn w:val="Navaden"/>
    <w:next w:val="Text2"/>
    <w:pPr>
      <w:numPr>
        <w:ilvl w:val="6"/>
        <w:numId w:val="17"/>
      </w:numPr>
    </w:pPr>
  </w:style>
  <w:style w:type="paragraph" w:customStyle="1" w:styleId="ManualNumPar1">
    <w:name w:val="Manual NumPar 1"/>
    <w:basedOn w:val="Navaden"/>
    <w:next w:val="Text1"/>
    <w:pPr>
      <w:ind w:left="850" w:hanging="850"/>
    </w:pPr>
  </w:style>
  <w:style w:type="paragraph" w:customStyle="1" w:styleId="ManualNumPar2">
    <w:name w:val="Manual NumPar 2"/>
    <w:basedOn w:val="Navaden"/>
    <w:next w:val="Text1"/>
    <w:pPr>
      <w:ind w:left="850" w:hanging="850"/>
    </w:pPr>
  </w:style>
  <w:style w:type="paragraph" w:customStyle="1" w:styleId="ManualNumPar3">
    <w:name w:val="Manual NumPar 3"/>
    <w:basedOn w:val="Navaden"/>
    <w:next w:val="Text1"/>
    <w:pPr>
      <w:ind w:left="850" w:hanging="850"/>
    </w:pPr>
  </w:style>
  <w:style w:type="paragraph" w:customStyle="1" w:styleId="ManualNumPar4">
    <w:name w:val="Manual NumPar 4"/>
    <w:basedOn w:val="Navaden"/>
    <w:next w:val="Text1"/>
    <w:pPr>
      <w:ind w:left="850" w:hanging="850"/>
    </w:pPr>
  </w:style>
  <w:style w:type="paragraph" w:customStyle="1" w:styleId="ManualNumPar5">
    <w:name w:val="Manual NumPar 5"/>
    <w:basedOn w:val="Navaden"/>
    <w:next w:val="Text2"/>
    <w:pPr>
      <w:ind w:left="1417" w:hanging="1417"/>
    </w:pPr>
  </w:style>
  <w:style w:type="paragraph" w:customStyle="1" w:styleId="ManualNumPar6">
    <w:name w:val="Manual NumPar 6"/>
    <w:basedOn w:val="Navaden"/>
    <w:next w:val="Text2"/>
    <w:pPr>
      <w:ind w:left="1417" w:hanging="1417"/>
    </w:pPr>
  </w:style>
  <w:style w:type="paragraph" w:customStyle="1" w:styleId="ManualNumPar7">
    <w:name w:val="Manual NumPar 7"/>
    <w:basedOn w:val="Navaden"/>
    <w:next w:val="Text2"/>
    <w:pPr>
      <w:ind w:left="1417" w:hanging="1417"/>
    </w:pPr>
  </w:style>
  <w:style w:type="paragraph" w:customStyle="1" w:styleId="QuotedNumPar">
    <w:name w:val="Quoted NumPar"/>
    <w:basedOn w:val="Navaden"/>
    <w:pPr>
      <w:ind w:left="1417" w:hanging="567"/>
    </w:pPr>
  </w:style>
  <w:style w:type="paragraph" w:customStyle="1" w:styleId="ManualHeading1">
    <w:name w:val="Manual Heading 1"/>
    <w:basedOn w:val="Navaden"/>
    <w:next w:val="Text1"/>
    <w:pPr>
      <w:keepNext/>
      <w:tabs>
        <w:tab w:val="left" w:pos="850"/>
      </w:tabs>
      <w:spacing w:before="360"/>
      <w:ind w:left="850" w:hanging="850"/>
      <w:outlineLvl w:val="0"/>
    </w:pPr>
    <w:rPr>
      <w:b/>
      <w:smallCaps/>
    </w:rPr>
  </w:style>
  <w:style w:type="paragraph" w:customStyle="1" w:styleId="ManualHeading2">
    <w:name w:val="Manual Heading 2"/>
    <w:basedOn w:val="Navaden"/>
    <w:next w:val="Text1"/>
    <w:pPr>
      <w:keepNext/>
      <w:tabs>
        <w:tab w:val="left" w:pos="850"/>
      </w:tabs>
      <w:ind w:left="850" w:hanging="850"/>
      <w:outlineLvl w:val="1"/>
    </w:pPr>
    <w:rPr>
      <w:b/>
    </w:rPr>
  </w:style>
  <w:style w:type="paragraph" w:customStyle="1" w:styleId="ManualHeading3">
    <w:name w:val="Manual Heading 3"/>
    <w:basedOn w:val="Navaden"/>
    <w:next w:val="Text1"/>
    <w:pPr>
      <w:keepNext/>
      <w:tabs>
        <w:tab w:val="left" w:pos="850"/>
      </w:tabs>
      <w:ind w:left="850" w:hanging="850"/>
      <w:outlineLvl w:val="2"/>
    </w:pPr>
    <w:rPr>
      <w:i/>
    </w:rPr>
  </w:style>
  <w:style w:type="paragraph" w:customStyle="1" w:styleId="ManualHeading4">
    <w:name w:val="Manual Heading 4"/>
    <w:basedOn w:val="Navaden"/>
    <w:next w:val="Text1"/>
    <w:pPr>
      <w:keepNext/>
      <w:tabs>
        <w:tab w:val="left" w:pos="850"/>
      </w:tabs>
      <w:ind w:left="850" w:hanging="850"/>
      <w:outlineLvl w:val="3"/>
    </w:pPr>
  </w:style>
  <w:style w:type="paragraph" w:customStyle="1" w:styleId="ManualHeading5">
    <w:name w:val="Manual Heading 5"/>
    <w:basedOn w:val="Navaden"/>
    <w:next w:val="Text2"/>
    <w:pPr>
      <w:keepNext/>
      <w:tabs>
        <w:tab w:val="left" w:pos="1417"/>
      </w:tabs>
      <w:ind w:left="1417" w:hanging="1417"/>
      <w:outlineLvl w:val="4"/>
    </w:pPr>
  </w:style>
  <w:style w:type="paragraph" w:customStyle="1" w:styleId="ManualHeading6">
    <w:name w:val="Manual Heading 6"/>
    <w:basedOn w:val="Navaden"/>
    <w:next w:val="Text2"/>
    <w:pPr>
      <w:keepNext/>
      <w:tabs>
        <w:tab w:val="left" w:pos="1417"/>
      </w:tabs>
      <w:ind w:left="1417" w:hanging="1417"/>
      <w:outlineLvl w:val="5"/>
    </w:pPr>
  </w:style>
  <w:style w:type="paragraph" w:customStyle="1" w:styleId="ManualHeading7">
    <w:name w:val="Manual Heading 7"/>
    <w:basedOn w:val="Navaden"/>
    <w:next w:val="Text2"/>
    <w:pPr>
      <w:keepNext/>
      <w:tabs>
        <w:tab w:val="left" w:pos="1417"/>
      </w:tabs>
      <w:ind w:left="1417" w:hanging="1417"/>
      <w:outlineLvl w:val="6"/>
    </w:pPr>
  </w:style>
  <w:style w:type="paragraph" w:customStyle="1" w:styleId="ChapterTitle">
    <w:name w:val="ChapterTitle"/>
    <w:basedOn w:val="Navaden"/>
    <w:next w:val="Navaden"/>
    <w:pPr>
      <w:keepNext/>
      <w:spacing w:after="360"/>
      <w:jc w:val="center"/>
    </w:pPr>
    <w:rPr>
      <w:b/>
      <w:sz w:val="32"/>
    </w:rPr>
  </w:style>
  <w:style w:type="paragraph" w:customStyle="1" w:styleId="PartTitle">
    <w:name w:val="PartTitle"/>
    <w:basedOn w:val="Navaden"/>
    <w:next w:val="ChapterTitle"/>
    <w:pPr>
      <w:keepNext/>
      <w:pageBreakBefore/>
      <w:spacing w:after="360"/>
      <w:jc w:val="center"/>
    </w:pPr>
    <w:rPr>
      <w:b/>
      <w:sz w:val="36"/>
    </w:rPr>
  </w:style>
  <w:style w:type="paragraph" w:customStyle="1" w:styleId="SectionTitle">
    <w:name w:val="SectionTitle"/>
    <w:basedOn w:val="Navaden"/>
    <w:next w:val="Naslov1"/>
    <w:pPr>
      <w:keepNext/>
      <w:spacing w:after="360"/>
      <w:jc w:val="center"/>
    </w:pPr>
    <w:rPr>
      <w:b/>
      <w:smallCaps/>
      <w:sz w:val="28"/>
    </w:rPr>
  </w:style>
  <w:style w:type="paragraph" w:customStyle="1" w:styleId="TableTitle">
    <w:name w:val="Table Title"/>
    <w:basedOn w:val="Navaden"/>
    <w:next w:val="Navaden"/>
    <w:pPr>
      <w:jc w:val="center"/>
    </w:pPr>
    <w:rPr>
      <w:b/>
    </w:rPr>
  </w:style>
  <w:style w:type="character" w:customStyle="1" w:styleId="Marker">
    <w:name w:val="Marker"/>
    <w:basedOn w:val="Privzetapisavaodstavka"/>
    <w:rPr>
      <w:color w:val="0000FF"/>
      <w:shd w:val="clear" w:color="auto" w:fill="auto"/>
    </w:rPr>
  </w:style>
  <w:style w:type="character" w:customStyle="1" w:styleId="Marker1">
    <w:name w:val="Marker1"/>
    <w:basedOn w:val="Privzetapisavaodstavka"/>
    <w:rPr>
      <w:color w:val="008000"/>
      <w:shd w:val="clear" w:color="auto" w:fill="auto"/>
    </w:rPr>
  </w:style>
  <w:style w:type="character" w:customStyle="1" w:styleId="Marker2">
    <w:name w:val="Marker2"/>
    <w:basedOn w:val="Privzetapisavaodstavka"/>
    <w:rPr>
      <w:color w:val="FF0000"/>
      <w:shd w:val="clear" w:color="auto" w:fill="auto"/>
    </w:rPr>
  </w:style>
  <w:style w:type="paragraph" w:customStyle="1" w:styleId="Point0number">
    <w:name w:val="Point 0 (number)"/>
    <w:basedOn w:val="Navaden"/>
    <w:pPr>
      <w:numPr>
        <w:numId w:val="19"/>
      </w:numPr>
    </w:pPr>
  </w:style>
  <w:style w:type="paragraph" w:customStyle="1" w:styleId="Point1number">
    <w:name w:val="Point 1 (number)"/>
    <w:basedOn w:val="Navaden"/>
    <w:pPr>
      <w:numPr>
        <w:ilvl w:val="2"/>
        <w:numId w:val="19"/>
      </w:numPr>
    </w:pPr>
  </w:style>
  <w:style w:type="paragraph" w:customStyle="1" w:styleId="Point2number">
    <w:name w:val="Point 2 (number)"/>
    <w:basedOn w:val="Navaden"/>
    <w:pPr>
      <w:numPr>
        <w:ilvl w:val="4"/>
        <w:numId w:val="19"/>
      </w:numPr>
    </w:pPr>
  </w:style>
  <w:style w:type="paragraph" w:customStyle="1" w:styleId="Point3number">
    <w:name w:val="Point 3 (number)"/>
    <w:basedOn w:val="Navaden"/>
    <w:pPr>
      <w:numPr>
        <w:ilvl w:val="6"/>
        <w:numId w:val="19"/>
      </w:numPr>
    </w:pPr>
  </w:style>
  <w:style w:type="paragraph" w:customStyle="1" w:styleId="Point0letter">
    <w:name w:val="Point 0 (letter)"/>
    <w:basedOn w:val="Navaden"/>
    <w:pPr>
      <w:numPr>
        <w:ilvl w:val="1"/>
        <w:numId w:val="19"/>
      </w:numPr>
    </w:pPr>
  </w:style>
  <w:style w:type="paragraph" w:customStyle="1" w:styleId="Point1letter">
    <w:name w:val="Point 1 (letter)"/>
    <w:basedOn w:val="Navaden"/>
    <w:pPr>
      <w:numPr>
        <w:ilvl w:val="3"/>
        <w:numId w:val="19"/>
      </w:numPr>
    </w:pPr>
  </w:style>
  <w:style w:type="paragraph" w:customStyle="1" w:styleId="Point2letter">
    <w:name w:val="Point 2 (letter)"/>
    <w:basedOn w:val="Navaden"/>
    <w:pPr>
      <w:numPr>
        <w:ilvl w:val="5"/>
        <w:numId w:val="19"/>
      </w:numPr>
    </w:pPr>
  </w:style>
  <w:style w:type="paragraph" w:customStyle="1" w:styleId="Point3letter">
    <w:name w:val="Point 3 (letter)"/>
    <w:basedOn w:val="Navaden"/>
    <w:pPr>
      <w:numPr>
        <w:ilvl w:val="7"/>
        <w:numId w:val="19"/>
      </w:numPr>
    </w:pPr>
  </w:style>
  <w:style w:type="paragraph" w:customStyle="1" w:styleId="Point4letter">
    <w:name w:val="Point 4 (letter)"/>
    <w:basedOn w:val="Navaden"/>
    <w:pPr>
      <w:numPr>
        <w:ilvl w:val="8"/>
        <w:numId w:val="19"/>
      </w:numPr>
    </w:pPr>
  </w:style>
  <w:style w:type="paragraph" w:customStyle="1" w:styleId="Bullet0">
    <w:name w:val="Bullet 0"/>
    <w:basedOn w:val="Navaden"/>
    <w:pPr>
      <w:numPr>
        <w:numId w:val="20"/>
      </w:numPr>
    </w:pPr>
  </w:style>
  <w:style w:type="paragraph" w:customStyle="1" w:styleId="Bullet1">
    <w:name w:val="Bullet 1"/>
    <w:basedOn w:val="Navaden"/>
    <w:pPr>
      <w:numPr>
        <w:numId w:val="21"/>
      </w:numPr>
    </w:pPr>
  </w:style>
  <w:style w:type="paragraph" w:customStyle="1" w:styleId="Bullet2">
    <w:name w:val="Bullet 2"/>
    <w:basedOn w:val="Navaden"/>
    <w:pPr>
      <w:numPr>
        <w:numId w:val="22"/>
      </w:numPr>
    </w:pPr>
  </w:style>
  <w:style w:type="paragraph" w:customStyle="1" w:styleId="Bullet3">
    <w:name w:val="Bullet 3"/>
    <w:basedOn w:val="Navaden"/>
    <w:pPr>
      <w:numPr>
        <w:numId w:val="23"/>
      </w:numPr>
    </w:pPr>
  </w:style>
  <w:style w:type="paragraph" w:customStyle="1" w:styleId="Bullet4">
    <w:name w:val="Bullet 4"/>
    <w:basedOn w:val="Navaden"/>
    <w:pPr>
      <w:numPr>
        <w:numId w:val="24"/>
      </w:numPr>
    </w:pPr>
  </w:style>
  <w:style w:type="paragraph" w:customStyle="1" w:styleId="Langue">
    <w:name w:val="Langue"/>
    <w:basedOn w:val="Navaden"/>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avaden"/>
    <w:next w:val="Emission"/>
    <w:pPr>
      <w:spacing w:before="0" w:after="0"/>
      <w:jc w:val="left"/>
    </w:pPr>
    <w:rPr>
      <w:rFonts w:ascii="Arial" w:hAnsi="Arial" w:cs="Arial"/>
    </w:rPr>
  </w:style>
  <w:style w:type="paragraph" w:customStyle="1" w:styleId="Emission">
    <w:name w:val="Emission"/>
    <w:basedOn w:val="Navaden"/>
    <w:next w:val="Rfrenceinstitutionnelle"/>
    <w:pPr>
      <w:spacing w:before="0" w:after="0"/>
      <w:ind w:left="5103"/>
      <w:jc w:val="left"/>
    </w:pPr>
  </w:style>
  <w:style w:type="paragraph" w:customStyle="1" w:styleId="Rfrenceinstitutionnelle">
    <w:name w:val="Référence institutionnelle"/>
    <w:basedOn w:val="Navaden"/>
    <w:next w:val="Confidentialit"/>
    <w:pPr>
      <w:spacing w:before="0" w:after="240"/>
      <w:ind w:left="5103"/>
      <w:jc w:val="left"/>
    </w:pPr>
  </w:style>
  <w:style w:type="paragraph" w:customStyle="1" w:styleId="Pagedecouverture">
    <w:name w:val="Page de couverture"/>
    <w:basedOn w:val="Navaden"/>
    <w:next w:val="Navaden"/>
    <w:pPr>
      <w:spacing w:before="0" w:after="0"/>
    </w:pPr>
  </w:style>
  <w:style w:type="paragraph" w:customStyle="1" w:styleId="Declassification">
    <w:name w:val="Declassification"/>
    <w:basedOn w:val="Navaden"/>
    <w:next w:val="Navaden"/>
    <w:pPr>
      <w:spacing w:before="0" w:after="0"/>
    </w:pPr>
  </w:style>
  <w:style w:type="paragraph" w:customStyle="1" w:styleId="Disclaimer">
    <w:name w:val="Disclaimer"/>
    <w:basedOn w:val="Navaden"/>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avaden"/>
    <w:pPr>
      <w:spacing w:before="0" w:after="0" w:line="276" w:lineRule="auto"/>
      <w:ind w:left="5103"/>
      <w:jc w:val="left"/>
    </w:pPr>
    <w:rPr>
      <w:sz w:val="28"/>
    </w:rPr>
  </w:style>
  <w:style w:type="paragraph" w:customStyle="1" w:styleId="DateMarking">
    <w:name w:val="DateMarking"/>
    <w:basedOn w:val="Navaden"/>
    <w:pPr>
      <w:spacing w:before="0" w:after="0" w:line="276" w:lineRule="auto"/>
      <w:ind w:left="5103"/>
      <w:jc w:val="left"/>
    </w:pPr>
    <w:rPr>
      <w:i/>
      <w:sz w:val="28"/>
    </w:rPr>
  </w:style>
  <w:style w:type="paragraph" w:customStyle="1" w:styleId="ReleasableTo">
    <w:name w:val="ReleasableTo"/>
    <w:basedOn w:val="Navaden"/>
    <w:pPr>
      <w:spacing w:before="0" w:after="0" w:line="276" w:lineRule="auto"/>
      <w:ind w:left="5103"/>
      <w:jc w:val="left"/>
    </w:pPr>
    <w:rPr>
      <w:i/>
      <w:sz w:val="28"/>
    </w:rPr>
  </w:style>
  <w:style w:type="paragraph" w:customStyle="1" w:styleId="Annexetitreexpos">
    <w:name w:val="Annexe titre (exposé)"/>
    <w:basedOn w:val="Navaden"/>
    <w:next w:val="Navaden"/>
    <w:pPr>
      <w:jc w:val="center"/>
    </w:pPr>
    <w:rPr>
      <w:b/>
      <w:u w:val="single"/>
    </w:rPr>
  </w:style>
  <w:style w:type="paragraph" w:customStyle="1" w:styleId="Annexetitre">
    <w:name w:val="Annexe titre"/>
    <w:basedOn w:val="Navaden"/>
    <w:next w:val="Navaden"/>
    <w:pPr>
      <w:jc w:val="center"/>
    </w:pPr>
    <w:rPr>
      <w:b/>
      <w:u w:val="single"/>
    </w:rPr>
  </w:style>
  <w:style w:type="paragraph" w:customStyle="1" w:styleId="Annexetitrefichefinancire">
    <w:name w:val="Annexe titre (fiche financière)"/>
    <w:basedOn w:val="Navaden"/>
    <w:next w:val="Navaden"/>
    <w:pPr>
      <w:jc w:val="center"/>
    </w:pPr>
    <w:rPr>
      <w:b/>
      <w:u w:val="single"/>
    </w:rPr>
  </w:style>
  <w:style w:type="paragraph" w:customStyle="1" w:styleId="Applicationdirecte">
    <w:name w:val="Application directe"/>
    <w:basedOn w:val="Navaden"/>
    <w:next w:val="Fait"/>
    <w:pPr>
      <w:spacing w:before="480"/>
    </w:pPr>
  </w:style>
  <w:style w:type="paragraph" w:customStyle="1" w:styleId="Avertissementtitre">
    <w:name w:val="Avertissement titre"/>
    <w:basedOn w:val="Navaden"/>
    <w:next w:val="Navaden"/>
    <w:pPr>
      <w:keepNext/>
      <w:spacing w:before="480"/>
    </w:pPr>
    <w:rPr>
      <w:u w:val="single"/>
    </w:rPr>
  </w:style>
  <w:style w:type="paragraph" w:customStyle="1" w:styleId="Confidence">
    <w:name w:val="Confidence"/>
    <w:basedOn w:val="Navaden"/>
    <w:next w:val="Navaden"/>
    <w:pPr>
      <w:spacing w:before="360"/>
      <w:jc w:val="center"/>
    </w:pPr>
  </w:style>
  <w:style w:type="paragraph" w:customStyle="1" w:styleId="Confidentialit">
    <w:name w:val="Confidentialité"/>
    <w:basedOn w:val="Navaden"/>
    <w:next w:val="TypedudocumentPagedecouverture"/>
    <w:pPr>
      <w:spacing w:before="240" w:after="240"/>
      <w:ind w:left="5103"/>
      <w:jc w:val="left"/>
    </w:pPr>
    <w:rPr>
      <w:i/>
      <w:sz w:val="32"/>
    </w:rPr>
  </w:style>
  <w:style w:type="paragraph" w:customStyle="1" w:styleId="Considrant">
    <w:name w:val="Considérant"/>
    <w:basedOn w:val="Navaden"/>
    <w:pPr>
      <w:numPr>
        <w:numId w:val="25"/>
      </w:numPr>
    </w:pPr>
  </w:style>
  <w:style w:type="paragraph" w:customStyle="1" w:styleId="Corrigendum">
    <w:name w:val="Corrigendum"/>
    <w:basedOn w:val="Navaden"/>
    <w:next w:val="Navaden"/>
    <w:pPr>
      <w:spacing w:before="0" w:after="240"/>
      <w:jc w:val="left"/>
    </w:pPr>
  </w:style>
  <w:style w:type="paragraph" w:customStyle="1" w:styleId="Datedadoption">
    <w:name w:val="Date d'adoption"/>
    <w:basedOn w:val="Navaden"/>
    <w:next w:val="IntrtEEE"/>
    <w:pPr>
      <w:spacing w:before="360" w:after="0"/>
      <w:jc w:val="center"/>
    </w:pPr>
    <w:rPr>
      <w:b/>
    </w:rPr>
  </w:style>
  <w:style w:type="paragraph" w:customStyle="1" w:styleId="Exposdesmotifstitre">
    <w:name w:val="Exposé des motifs titre"/>
    <w:basedOn w:val="Navaden"/>
    <w:next w:val="Navaden"/>
    <w:pPr>
      <w:jc w:val="center"/>
    </w:pPr>
    <w:rPr>
      <w:b/>
      <w:u w:val="single"/>
    </w:rPr>
  </w:style>
  <w:style w:type="paragraph" w:customStyle="1" w:styleId="Fait">
    <w:name w:val="Fait à"/>
    <w:basedOn w:val="Navaden"/>
    <w:next w:val="Institutionquisigne"/>
    <w:pPr>
      <w:keepNext/>
      <w:spacing w:after="0"/>
    </w:pPr>
  </w:style>
  <w:style w:type="paragraph" w:customStyle="1" w:styleId="Formuledadoption">
    <w:name w:val="Formule d'adoption"/>
    <w:basedOn w:val="Navaden"/>
    <w:next w:val="Titrearticle"/>
    <w:pPr>
      <w:keepNext/>
    </w:pPr>
  </w:style>
  <w:style w:type="paragraph" w:customStyle="1" w:styleId="Institutionquiagit">
    <w:name w:val="Institution qui agit"/>
    <w:basedOn w:val="Navaden"/>
    <w:next w:val="Navaden"/>
    <w:pPr>
      <w:keepNext/>
      <w:spacing w:before="600"/>
    </w:pPr>
  </w:style>
  <w:style w:type="paragraph" w:customStyle="1" w:styleId="Institutionquisigne">
    <w:name w:val="Institution qui signe"/>
    <w:basedOn w:val="Navaden"/>
    <w:next w:val="Personnequisigne"/>
    <w:pPr>
      <w:keepNext/>
      <w:tabs>
        <w:tab w:val="left" w:pos="4252"/>
      </w:tabs>
      <w:spacing w:before="720" w:after="0"/>
    </w:pPr>
    <w:rPr>
      <w:i/>
    </w:rPr>
  </w:style>
  <w:style w:type="paragraph" w:customStyle="1" w:styleId="ManualConsidrant">
    <w:name w:val="Manual Considérant"/>
    <w:basedOn w:val="Navaden"/>
    <w:pPr>
      <w:ind w:left="709" w:hanging="709"/>
    </w:pPr>
  </w:style>
  <w:style w:type="paragraph" w:customStyle="1" w:styleId="Personnequisigne">
    <w:name w:val="Personne qui signe"/>
    <w:basedOn w:val="Navaden"/>
    <w:next w:val="Institutionquisigne"/>
    <w:uiPriority w:val="99"/>
    <w:pPr>
      <w:tabs>
        <w:tab w:val="left" w:pos="4252"/>
      </w:tabs>
      <w:spacing w:before="0" w:after="0"/>
      <w:jc w:val="left"/>
    </w:pPr>
    <w:rPr>
      <w:i/>
    </w:rPr>
  </w:style>
  <w:style w:type="paragraph" w:customStyle="1" w:styleId="Rfrenceinterinstitutionnelle">
    <w:name w:val="Référence interinstitutionnelle"/>
    <w:basedOn w:val="Navaden"/>
    <w:next w:val="Statut"/>
    <w:pPr>
      <w:spacing w:before="0" w:after="0"/>
      <w:ind w:left="5103"/>
      <w:jc w:val="left"/>
    </w:pPr>
  </w:style>
  <w:style w:type="paragraph" w:customStyle="1" w:styleId="Rfrenceinterne">
    <w:name w:val="Référence interne"/>
    <w:basedOn w:val="Navaden"/>
    <w:next w:val="Rfrenceinterinstitutionnelle"/>
    <w:pPr>
      <w:spacing w:before="0" w:after="0"/>
      <w:ind w:left="5103"/>
      <w:jc w:val="left"/>
    </w:pPr>
  </w:style>
  <w:style w:type="paragraph" w:customStyle="1" w:styleId="Statut">
    <w:name w:val="Statut"/>
    <w:basedOn w:val="Navaden"/>
    <w:next w:val="Typedudocument"/>
    <w:pPr>
      <w:spacing w:before="0" w:after="240"/>
      <w:jc w:val="center"/>
    </w:pPr>
  </w:style>
  <w:style w:type="paragraph" w:customStyle="1" w:styleId="Titrearticle">
    <w:name w:val="Titre article"/>
    <w:basedOn w:val="Navaden"/>
    <w:next w:val="Navaden"/>
    <w:pPr>
      <w:keepNext/>
      <w:spacing w:before="360"/>
      <w:jc w:val="center"/>
    </w:pPr>
    <w:rPr>
      <w:i/>
    </w:rPr>
  </w:style>
  <w:style w:type="paragraph" w:customStyle="1" w:styleId="Typedudocument">
    <w:name w:val="Type du document"/>
    <w:basedOn w:val="Navaden"/>
    <w:next w:val="Accompagnant"/>
    <w:pPr>
      <w:spacing w:before="360" w:after="180"/>
      <w:jc w:val="center"/>
    </w:pPr>
    <w:rPr>
      <w:b/>
    </w:rPr>
  </w:style>
  <w:style w:type="character" w:customStyle="1" w:styleId="Added">
    <w:name w:val="Added"/>
    <w:basedOn w:val="Privzetapisavaodstavka"/>
    <w:rPr>
      <w:b/>
      <w:u w:val="single"/>
      <w:shd w:val="clear" w:color="auto" w:fill="auto"/>
    </w:rPr>
  </w:style>
  <w:style w:type="character" w:customStyle="1" w:styleId="Deleted">
    <w:name w:val="Deleted"/>
    <w:basedOn w:val="Privzetapisavaodstavka"/>
    <w:rPr>
      <w:strike/>
      <w:dstrike w:val="0"/>
      <w:shd w:val="clear" w:color="auto" w:fill="auto"/>
    </w:rPr>
  </w:style>
  <w:style w:type="paragraph" w:customStyle="1" w:styleId="Address">
    <w:name w:val="Address"/>
    <w:basedOn w:val="Navaden"/>
    <w:next w:val="Navaden"/>
    <w:pPr>
      <w:keepLines/>
      <w:spacing w:line="360" w:lineRule="auto"/>
      <w:ind w:left="3402"/>
      <w:jc w:val="left"/>
    </w:pPr>
  </w:style>
  <w:style w:type="paragraph" w:customStyle="1" w:styleId="Objetexterne">
    <w:name w:val="Objet externe"/>
    <w:basedOn w:val="Navaden"/>
    <w:next w:val="Navaden"/>
    <w:rPr>
      <w:i/>
      <w:caps/>
    </w:rPr>
  </w:style>
  <w:style w:type="paragraph" w:customStyle="1" w:styleId="Supertitre">
    <w:name w:val="Supertitre"/>
    <w:basedOn w:val="Navaden"/>
    <w:next w:val="Navaden"/>
    <w:pPr>
      <w:spacing w:before="0" w:after="600"/>
      <w:jc w:val="center"/>
    </w:pPr>
    <w:rPr>
      <w:b/>
    </w:rPr>
  </w:style>
  <w:style w:type="paragraph" w:customStyle="1" w:styleId="Languesfaisantfoi">
    <w:name w:val="Langues faisant foi"/>
    <w:basedOn w:val="Navaden"/>
    <w:next w:val="Navaden"/>
    <w:pPr>
      <w:spacing w:before="360" w:after="0"/>
      <w:jc w:val="center"/>
    </w:pPr>
  </w:style>
  <w:style w:type="paragraph" w:customStyle="1" w:styleId="Rfrencecroise">
    <w:name w:val="Référence croisée"/>
    <w:basedOn w:val="Navaden"/>
    <w:pPr>
      <w:spacing w:before="0" w:after="0"/>
      <w:jc w:val="center"/>
    </w:pPr>
  </w:style>
  <w:style w:type="paragraph" w:customStyle="1" w:styleId="Fichefinanciretitre">
    <w:name w:val="Fiche financière titre"/>
    <w:basedOn w:val="Navaden"/>
    <w:next w:val="Navaden"/>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avaden"/>
    <w:next w:val="Confidentialit"/>
    <w:pPr>
      <w:spacing w:before="0" w:after="240"/>
      <w:ind w:left="5103"/>
      <w:jc w:val="left"/>
    </w:pPr>
  </w:style>
  <w:style w:type="paragraph" w:customStyle="1" w:styleId="IntrtEEE">
    <w:name w:val="Intérêt EEE"/>
    <w:basedOn w:val="Languesfaisantfoi"/>
    <w:next w:val="Navaden"/>
    <w:pPr>
      <w:spacing w:after="240"/>
    </w:pPr>
  </w:style>
  <w:style w:type="paragraph" w:customStyle="1" w:styleId="Accompagnant">
    <w:name w:val="Accompagnant"/>
    <w:basedOn w:val="Navaden"/>
    <w:next w:val="Typeacteprincipal"/>
    <w:pPr>
      <w:spacing w:before="180" w:after="240"/>
      <w:jc w:val="center"/>
    </w:pPr>
    <w:rPr>
      <w:b/>
    </w:rPr>
  </w:style>
  <w:style w:type="paragraph" w:customStyle="1" w:styleId="Typeacteprincipal">
    <w:name w:val="Type acte principal"/>
    <w:basedOn w:val="Navaden"/>
    <w:next w:val="Objetacteprincipal"/>
    <w:pPr>
      <w:spacing w:before="0" w:after="240"/>
      <w:jc w:val="center"/>
    </w:pPr>
    <w:rPr>
      <w:b/>
    </w:rPr>
  </w:style>
  <w:style w:type="paragraph" w:customStyle="1" w:styleId="Objetacteprincipal">
    <w:name w:val="Objet acte principal"/>
    <w:basedOn w:val="Navaden"/>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avaden"/>
    <w:next w:val="Navaden"/>
    <w:pPr>
      <w:spacing w:before="360" w:after="0"/>
      <w:jc w:val="center"/>
    </w:pPr>
  </w:style>
  <w:style w:type="paragraph" w:customStyle="1" w:styleId="pf0">
    <w:name w:val="pf0"/>
    <w:basedOn w:val="Navaden"/>
    <w:rsid w:val="00682BB6"/>
    <w:pPr>
      <w:spacing w:before="100" w:beforeAutospacing="1" w:after="100" w:afterAutospacing="1"/>
      <w:jc w:val="left"/>
    </w:pPr>
    <w:rPr>
      <w:rFonts w:eastAsia="Times New Roman"/>
      <w:szCs w:val="24"/>
      <w:lang w:eastAsia="sl-SI"/>
    </w:rPr>
  </w:style>
  <w:style w:type="character" w:customStyle="1" w:styleId="cf01">
    <w:name w:val="cf01"/>
    <w:basedOn w:val="Privzetapisavaodstavka"/>
    <w:rsid w:val="00682BB6"/>
    <w:rPr>
      <w:rFonts w:ascii="Segoe UI" w:hAnsi="Segoe UI" w:cs="Segoe UI" w:hint="default"/>
      <w:sz w:val="18"/>
      <w:szCs w:val="18"/>
    </w:rPr>
  </w:style>
  <w:style w:type="paragraph" w:styleId="Navadensplet">
    <w:name w:val="Normal (Web)"/>
    <w:basedOn w:val="Navaden"/>
    <w:uiPriority w:val="99"/>
    <w:unhideWhenUsed/>
    <w:rsid w:val="008E3074"/>
    <w:pPr>
      <w:spacing w:before="100" w:beforeAutospacing="1" w:after="100" w:afterAutospacing="1"/>
      <w:jc w:val="left"/>
    </w:pPr>
    <w:rPr>
      <w:rFonts w:eastAsia="Times New Roman"/>
      <w:szCs w:val="24"/>
      <w:lang w:eastAsia="sl-SI"/>
    </w:rPr>
  </w:style>
  <w:style w:type="character" w:styleId="Krepko">
    <w:name w:val="Strong"/>
    <w:basedOn w:val="Privzetapisavaodstavka"/>
    <w:uiPriority w:val="22"/>
    <w:qFormat/>
    <w:rsid w:val="005E2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6177">
      <w:bodyDiv w:val="1"/>
      <w:marLeft w:val="0"/>
      <w:marRight w:val="0"/>
      <w:marTop w:val="0"/>
      <w:marBottom w:val="0"/>
      <w:divBdr>
        <w:top w:val="none" w:sz="0" w:space="0" w:color="auto"/>
        <w:left w:val="none" w:sz="0" w:space="0" w:color="auto"/>
        <w:bottom w:val="none" w:sz="0" w:space="0" w:color="auto"/>
        <w:right w:val="none" w:sz="0" w:space="0" w:color="auto"/>
      </w:divBdr>
    </w:div>
    <w:div w:id="85269302">
      <w:bodyDiv w:val="1"/>
      <w:marLeft w:val="0"/>
      <w:marRight w:val="0"/>
      <w:marTop w:val="0"/>
      <w:marBottom w:val="0"/>
      <w:divBdr>
        <w:top w:val="none" w:sz="0" w:space="0" w:color="auto"/>
        <w:left w:val="none" w:sz="0" w:space="0" w:color="auto"/>
        <w:bottom w:val="none" w:sz="0" w:space="0" w:color="auto"/>
        <w:right w:val="none" w:sz="0" w:space="0" w:color="auto"/>
      </w:divBdr>
    </w:div>
    <w:div w:id="85394909">
      <w:bodyDiv w:val="1"/>
      <w:marLeft w:val="0"/>
      <w:marRight w:val="0"/>
      <w:marTop w:val="0"/>
      <w:marBottom w:val="0"/>
      <w:divBdr>
        <w:top w:val="none" w:sz="0" w:space="0" w:color="auto"/>
        <w:left w:val="none" w:sz="0" w:space="0" w:color="auto"/>
        <w:bottom w:val="none" w:sz="0" w:space="0" w:color="auto"/>
        <w:right w:val="none" w:sz="0" w:space="0" w:color="auto"/>
      </w:divBdr>
    </w:div>
    <w:div w:id="91973345">
      <w:bodyDiv w:val="1"/>
      <w:marLeft w:val="0"/>
      <w:marRight w:val="0"/>
      <w:marTop w:val="0"/>
      <w:marBottom w:val="0"/>
      <w:divBdr>
        <w:top w:val="none" w:sz="0" w:space="0" w:color="auto"/>
        <w:left w:val="none" w:sz="0" w:space="0" w:color="auto"/>
        <w:bottom w:val="none" w:sz="0" w:space="0" w:color="auto"/>
        <w:right w:val="none" w:sz="0" w:space="0" w:color="auto"/>
      </w:divBdr>
    </w:div>
    <w:div w:id="243682881">
      <w:bodyDiv w:val="1"/>
      <w:marLeft w:val="0"/>
      <w:marRight w:val="0"/>
      <w:marTop w:val="0"/>
      <w:marBottom w:val="0"/>
      <w:divBdr>
        <w:top w:val="none" w:sz="0" w:space="0" w:color="auto"/>
        <w:left w:val="none" w:sz="0" w:space="0" w:color="auto"/>
        <w:bottom w:val="none" w:sz="0" w:space="0" w:color="auto"/>
        <w:right w:val="none" w:sz="0" w:space="0" w:color="auto"/>
      </w:divBdr>
    </w:div>
    <w:div w:id="333991354">
      <w:bodyDiv w:val="1"/>
      <w:marLeft w:val="0"/>
      <w:marRight w:val="0"/>
      <w:marTop w:val="0"/>
      <w:marBottom w:val="0"/>
      <w:divBdr>
        <w:top w:val="none" w:sz="0" w:space="0" w:color="auto"/>
        <w:left w:val="none" w:sz="0" w:space="0" w:color="auto"/>
        <w:bottom w:val="none" w:sz="0" w:space="0" w:color="auto"/>
        <w:right w:val="none" w:sz="0" w:space="0" w:color="auto"/>
      </w:divBdr>
    </w:div>
    <w:div w:id="392311594">
      <w:bodyDiv w:val="1"/>
      <w:marLeft w:val="0"/>
      <w:marRight w:val="0"/>
      <w:marTop w:val="0"/>
      <w:marBottom w:val="0"/>
      <w:divBdr>
        <w:top w:val="none" w:sz="0" w:space="0" w:color="auto"/>
        <w:left w:val="none" w:sz="0" w:space="0" w:color="auto"/>
        <w:bottom w:val="none" w:sz="0" w:space="0" w:color="auto"/>
        <w:right w:val="none" w:sz="0" w:space="0" w:color="auto"/>
      </w:divBdr>
    </w:div>
    <w:div w:id="403114585">
      <w:bodyDiv w:val="1"/>
      <w:marLeft w:val="0"/>
      <w:marRight w:val="0"/>
      <w:marTop w:val="0"/>
      <w:marBottom w:val="0"/>
      <w:divBdr>
        <w:top w:val="none" w:sz="0" w:space="0" w:color="auto"/>
        <w:left w:val="none" w:sz="0" w:space="0" w:color="auto"/>
        <w:bottom w:val="none" w:sz="0" w:space="0" w:color="auto"/>
        <w:right w:val="none" w:sz="0" w:space="0" w:color="auto"/>
      </w:divBdr>
    </w:div>
    <w:div w:id="405540965">
      <w:bodyDiv w:val="1"/>
      <w:marLeft w:val="0"/>
      <w:marRight w:val="0"/>
      <w:marTop w:val="0"/>
      <w:marBottom w:val="0"/>
      <w:divBdr>
        <w:top w:val="none" w:sz="0" w:space="0" w:color="auto"/>
        <w:left w:val="none" w:sz="0" w:space="0" w:color="auto"/>
        <w:bottom w:val="none" w:sz="0" w:space="0" w:color="auto"/>
        <w:right w:val="none" w:sz="0" w:space="0" w:color="auto"/>
      </w:divBdr>
    </w:div>
    <w:div w:id="544372454">
      <w:bodyDiv w:val="1"/>
      <w:marLeft w:val="0"/>
      <w:marRight w:val="0"/>
      <w:marTop w:val="0"/>
      <w:marBottom w:val="0"/>
      <w:divBdr>
        <w:top w:val="none" w:sz="0" w:space="0" w:color="auto"/>
        <w:left w:val="none" w:sz="0" w:space="0" w:color="auto"/>
        <w:bottom w:val="none" w:sz="0" w:space="0" w:color="auto"/>
        <w:right w:val="none" w:sz="0" w:space="0" w:color="auto"/>
      </w:divBdr>
    </w:div>
    <w:div w:id="578365991">
      <w:bodyDiv w:val="1"/>
      <w:marLeft w:val="0"/>
      <w:marRight w:val="0"/>
      <w:marTop w:val="0"/>
      <w:marBottom w:val="0"/>
      <w:divBdr>
        <w:top w:val="none" w:sz="0" w:space="0" w:color="auto"/>
        <w:left w:val="none" w:sz="0" w:space="0" w:color="auto"/>
        <w:bottom w:val="none" w:sz="0" w:space="0" w:color="auto"/>
        <w:right w:val="none" w:sz="0" w:space="0" w:color="auto"/>
      </w:divBdr>
    </w:div>
    <w:div w:id="621545369">
      <w:bodyDiv w:val="1"/>
      <w:marLeft w:val="0"/>
      <w:marRight w:val="0"/>
      <w:marTop w:val="0"/>
      <w:marBottom w:val="0"/>
      <w:divBdr>
        <w:top w:val="none" w:sz="0" w:space="0" w:color="auto"/>
        <w:left w:val="none" w:sz="0" w:space="0" w:color="auto"/>
        <w:bottom w:val="none" w:sz="0" w:space="0" w:color="auto"/>
        <w:right w:val="none" w:sz="0" w:space="0" w:color="auto"/>
      </w:divBdr>
    </w:div>
    <w:div w:id="736171367">
      <w:bodyDiv w:val="1"/>
      <w:marLeft w:val="0"/>
      <w:marRight w:val="0"/>
      <w:marTop w:val="0"/>
      <w:marBottom w:val="0"/>
      <w:divBdr>
        <w:top w:val="none" w:sz="0" w:space="0" w:color="auto"/>
        <w:left w:val="none" w:sz="0" w:space="0" w:color="auto"/>
        <w:bottom w:val="none" w:sz="0" w:space="0" w:color="auto"/>
        <w:right w:val="none" w:sz="0" w:space="0" w:color="auto"/>
      </w:divBdr>
    </w:div>
    <w:div w:id="740714474">
      <w:bodyDiv w:val="1"/>
      <w:marLeft w:val="0"/>
      <w:marRight w:val="0"/>
      <w:marTop w:val="0"/>
      <w:marBottom w:val="0"/>
      <w:divBdr>
        <w:top w:val="none" w:sz="0" w:space="0" w:color="auto"/>
        <w:left w:val="none" w:sz="0" w:space="0" w:color="auto"/>
        <w:bottom w:val="none" w:sz="0" w:space="0" w:color="auto"/>
        <w:right w:val="none" w:sz="0" w:space="0" w:color="auto"/>
      </w:divBdr>
    </w:div>
    <w:div w:id="769735168">
      <w:bodyDiv w:val="1"/>
      <w:marLeft w:val="0"/>
      <w:marRight w:val="0"/>
      <w:marTop w:val="0"/>
      <w:marBottom w:val="0"/>
      <w:divBdr>
        <w:top w:val="none" w:sz="0" w:space="0" w:color="auto"/>
        <w:left w:val="none" w:sz="0" w:space="0" w:color="auto"/>
        <w:bottom w:val="none" w:sz="0" w:space="0" w:color="auto"/>
        <w:right w:val="none" w:sz="0" w:space="0" w:color="auto"/>
      </w:divBdr>
    </w:div>
    <w:div w:id="803695061">
      <w:bodyDiv w:val="1"/>
      <w:marLeft w:val="0"/>
      <w:marRight w:val="0"/>
      <w:marTop w:val="0"/>
      <w:marBottom w:val="0"/>
      <w:divBdr>
        <w:top w:val="none" w:sz="0" w:space="0" w:color="auto"/>
        <w:left w:val="none" w:sz="0" w:space="0" w:color="auto"/>
        <w:bottom w:val="none" w:sz="0" w:space="0" w:color="auto"/>
        <w:right w:val="none" w:sz="0" w:space="0" w:color="auto"/>
      </w:divBdr>
    </w:div>
    <w:div w:id="828405672">
      <w:bodyDiv w:val="1"/>
      <w:marLeft w:val="0"/>
      <w:marRight w:val="0"/>
      <w:marTop w:val="0"/>
      <w:marBottom w:val="0"/>
      <w:divBdr>
        <w:top w:val="none" w:sz="0" w:space="0" w:color="auto"/>
        <w:left w:val="none" w:sz="0" w:space="0" w:color="auto"/>
        <w:bottom w:val="none" w:sz="0" w:space="0" w:color="auto"/>
        <w:right w:val="none" w:sz="0" w:space="0" w:color="auto"/>
      </w:divBdr>
    </w:div>
    <w:div w:id="905648982">
      <w:bodyDiv w:val="1"/>
      <w:marLeft w:val="0"/>
      <w:marRight w:val="0"/>
      <w:marTop w:val="0"/>
      <w:marBottom w:val="0"/>
      <w:divBdr>
        <w:top w:val="none" w:sz="0" w:space="0" w:color="auto"/>
        <w:left w:val="none" w:sz="0" w:space="0" w:color="auto"/>
        <w:bottom w:val="none" w:sz="0" w:space="0" w:color="auto"/>
        <w:right w:val="none" w:sz="0" w:space="0" w:color="auto"/>
      </w:divBdr>
    </w:div>
    <w:div w:id="931401753">
      <w:bodyDiv w:val="1"/>
      <w:marLeft w:val="0"/>
      <w:marRight w:val="0"/>
      <w:marTop w:val="0"/>
      <w:marBottom w:val="0"/>
      <w:divBdr>
        <w:top w:val="none" w:sz="0" w:space="0" w:color="auto"/>
        <w:left w:val="none" w:sz="0" w:space="0" w:color="auto"/>
        <w:bottom w:val="none" w:sz="0" w:space="0" w:color="auto"/>
        <w:right w:val="none" w:sz="0" w:space="0" w:color="auto"/>
      </w:divBdr>
    </w:div>
    <w:div w:id="1115639000">
      <w:bodyDiv w:val="1"/>
      <w:marLeft w:val="0"/>
      <w:marRight w:val="0"/>
      <w:marTop w:val="0"/>
      <w:marBottom w:val="0"/>
      <w:divBdr>
        <w:top w:val="none" w:sz="0" w:space="0" w:color="auto"/>
        <w:left w:val="none" w:sz="0" w:space="0" w:color="auto"/>
        <w:bottom w:val="none" w:sz="0" w:space="0" w:color="auto"/>
        <w:right w:val="none" w:sz="0" w:space="0" w:color="auto"/>
      </w:divBdr>
    </w:div>
    <w:div w:id="1201747464">
      <w:bodyDiv w:val="1"/>
      <w:marLeft w:val="0"/>
      <w:marRight w:val="0"/>
      <w:marTop w:val="0"/>
      <w:marBottom w:val="0"/>
      <w:divBdr>
        <w:top w:val="none" w:sz="0" w:space="0" w:color="auto"/>
        <w:left w:val="none" w:sz="0" w:space="0" w:color="auto"/>
        <w:bottom w:val="none" w:sz="0" w:space="0" w:color="auto"/>
        <w:right w:val="none" w:sz="0" w:space="0" w:color="auto"/>
      </w:divBdr>
    </w:div>
    <w:div w:id="1228224627">
      <w:bodyDiv w:val="1"/>
      <w:marLeft w:val="0"/>
      <w:marRight w:val="0"/>
      <w:marTop w:val="0"/>
      <w:marBottom w:val="0"/>
      <w:divBdr>
        <w:top w:val="none" w:sz="0" w:space="0" w:color="auto"/>
        <w:left w:val="none" w:sz="0" w:space="0" w:color="auto"/>
        <w:bottom w:val="none" w:sz="0" w:space="0" w:color="auto"/>
        <w:right w:val="none" w:sz="0" w:space="0" w:color="auto"/>
      </w:divBdr>
    </w:div>
    <w:div w:id="1262883754">
      <w:bodyDiv w:val="1"/>
      <w:marLeft w:val="0"/>
      <w:marRight w:val="0"/>
      <w:marTop w:val="0"/>
      <w:marBottom w:val="0"/>
      <w:divBdr>
        <w:top w:val="none" w:sz="0" w:space="0" w:color="auto"/>
        <w:left w:val="none" w:sz="0" w:space="0" w:color="auto"/>
        <w:bottom w:val="none" w:sz="0" w:space="0" w:color="auto"/>
        <w:right w:val="none" w:sz="0" w:space="0" w:color="auto"/>
      </w:divBdr>
    </w:div>
    <w:div w:id="1301500424">
      <w:bodyDiv w:val="1"/>
      <w:marLeft w:val="0"/>
      <w:marRight w:val="0"/>
      <w:marTop w:val="0"/>
      <w:marBottom w:val="0"/>
      <w:divBdr>
        <w:top w:val="none" w:sz="0" w:space="0" w:color="auto"/>
        <w:left w:val="none" w:sz="0" w:space="0" w:color="auto"/>
        <w:bottom w:val="none" w:sz="0" w:space="0" w:color="auto"/>
        <w:right w:val="none" w:sz="0" w:space="0" w:color="auto"/>
      </w:divBdr>
    </w:div>
    <w:div w:id="1318260885">
      <w:bodyDiv w:val="1"/>
      <w:marLeft w:val="0"/>
      <w:marRight w:val="0"/>
      <w:marTop w:val="0"/>
      <w:marBottom w:val="0"/>
      <w:divBdr>
        <w:top w:val="none" w:sz="0" w:space="0" w:color="auto"/>
        <w:left w:val="none" w:sz="0" w:space="0" w:color="auto"/>
        <w:bottom w:val="none" w:sz="0" w:space="0" w:color="auto"/>
        <w:right w:val="none" w:sz="0" w:space="0" w:color="auto"/>
      </w:divBdr>
    </w:div>
    <w:div w:id="1455712646">
      <w:bodyDiv w:val="1"/>
      <w:marLeft w:val="0"/>
      <w:marRight w:val="0"/>
      <w:marTop w:val="0"/>
      <w:marBottom w:val="0"/>
      <w:divBdr>
        <w:top w:val="none" w:sz="0" w:space="0" w:color="auto"/>
        <w:left w:val="none" w:sz="0" w:space="0" w:color="auto"/>
        <w:bottom w:val="none" w:sz="0" w:space="0" w:color="auto"/>
        <w:right w:val="none" w:sz="0" w:space="0" w:color="auto"/>
      </w:divBdr>
    </w:div>
    <w:div w:id="1522089309">
      <w:bodyDiv w:val="1"/>
      <w:marLeft w:val="0"/>
      <w:marRight w:val="0"/>
      <w:marTop w:val="0"/>
      <w:marBottom w:val="0"/>
      <w:divBdr>
        <w:top w:val="none" w:sz="0" w:space="0" w:color="auto"/>
        <w:left w:val="none" w:sz="0" w:space="0" w:color="auto"/>
        <w:bottom w:val="none" w:sz="0" w:space="0" w:color="auto"/>
        <w:right w:val="none" w:sz="0" w:space="0" w:color="auto"/>
      </w:divBdr>
    </w:div>
    <w:div w:id="1565994315">
      <w:bodyDiv w:val="1"/>
      <w:marLeft w:val="0"/>
      <w:marRight w:val="0"/>
      <w:marTop w:val="0"/>
      <w:marBottom w:val="0"/>
      <w:divBdr>
        <w:top w:val="none" w:sz="0" w:space="0" w:color="auto"/>
        <w:left w:val="none" w:sz="0" w:space="0" w:color="auto"/>
        <w:bottom w:val="none" w:sz="0" w:space="0" w:color="auto"/>
        <w:right w:val="none" w:sz="0" w:space="0" w:color="auto"/>
      </w:divBdr>
    </w:div>
    <w:div w:id="1580092439">
      <w:bodyDiv w:val="1"/>
      <w:marLeft w:val="0"/>
      <w:marRight w:val="0"/>
      <w:marTop w:val="0"/>
      <w:marBottom w:val="0"/>
      <w:divBdr>
        <w:top w:val="none" w:sz="0" w:space="0" w:color="auto"/>
        <w:left w:val="none" w:sz="0" w:space="0" w:color="auto"/>
        <w:bottom w:val="none" w:sz="0" w:space="0" w:color="auto"/>
        <w:right w:val="none" w:sz="0" w:space="0" w:color="auto"/>
      </w:divBdr>
    </w:div>
    <w:div w:id="1597595049">
      <w:bodyDiv w:val="1"/>
      <w:marLeft w:val="0"/>
      <w:marRight w:val="0"/>
      <w:marTop w:val="0"/>
      <w:marBottom w:val="0"/>
      <w:divBdr>
        <w:top w:val="none" w:sz="0" w:space="0" w:color="auto"/>
        <w:left w:val="none" w:sz="0" w:space="0" w:color="auto"/>
        <w:bottom w:val="none" w:sz="0" w:space="0" w:color="auto"/>
        <w:right w:val="none" w:sz="0" w:space="0" w:color="auto"/>
      </w:divBdr>
    </w:div>
    <w:div w:id="1604603824">
      <w:bodyDiv w:val="1"/>
      <w:marLeft w:val="0"/>
      <w:marRight w:val="0"/>
      <w:marTop w:val="0"/>
      <w:marBottom w:val="0"/>
      <w:divBdr>
        <w:top w:val="none" w:sz="0" w:space="0" w:color="auto"/>
        <w:left w:val="none" w:sz="0" w:space="0" w:color="auto"/>
        <w:bottom w:val="none" w:sz="0" w:space="0" w:color="auto"/>
        <w:right w:val="none" w:sz="0" w:space="0" w:color="auto"/>
      </w:divBdr>
    </w:div>
    <w:div w:id="1613518340">
      <w:bodyDiv w:val="1"/>
      <w:marLeft w:val="0"/>
      <w:marRight w:val="0"/>
      <w:marTop w:val="0"/>
      <w:marBottom w:val="0"/>
      <w:divBdr>
        <w:top w:val="none" w:sz="0" w:space="0" w:color="auto"/>
        <w:left w:val="none" w:sz="0" w:space="0" w:color="auto"/>
        <w:bottom w:val="none" w:sz="0" w:space="0" w:color="auto"/>
        <w:right w:val="none" w:sz="0" w:space="0" w:color="auto"/>
      </w:divBdr>
    </w:div>
    <w:div w:id="1638223173">
      <w:bodyDiv w:val="1"/>
      <w:marLeft w:val="0"/>
      <w:marRight w:val="0"/>
      <w:marTop w:val="0"/>
      <w:marBottom w:val="0"/>
      <w:divBdr>
        <w:top w:val="none" w:sz="0" w:space="0" w:color="auto"/>
        <w:left w:val="none" w:sz="0" w:space="0" w:color="auto"/>
        <w:bottom w:val="none" w:sz="0" w:space="0" w:color="auto"/>
        <w:right w:val="none" w:sz="0" w:space="0" w:color="auto"/>
      </w:divBdr>
    </w:div>
    <w:div w:id="1800680301">
      <w:bodyDiv w:val="1"/>
      <w:marLeft w:val="0"/>
      <w:marRight w:val="0"/>
      <w:marTop w:val="0"/>
      <w:marBottom w:val="0"/>
      <w:divBdr>
        <w:top w:val="none" w:sz="0" w:space="0" w:color="auto"/>
        <w:left w:val="none" w:sz="0" w:space="0" w:color="auto"/>
        <w:bottom w:val="none" w:sz="0" w:space="0" w:color="auto"/>
        <w:right w:val="none" w:sz="0" w:space="0" w:color="auto"/>
      </w:divBdr>
    </w:div>
    <w:div w:id="1816794169">
      <w:bodyDiv w:val="1"/>
      <w:marLeft w:val="0"/>
      <w:marRight w:val="0"/>
      <w:marTop w:val="0"/>
      <w:marBottom w:val="0"/>
      <w:divBdr>
        <w:top w:val="none" w:sz="0" w:space="0" w:color="auto"/>
        <w:left w:val="none" w:sz="0" w:space="0" w:color="auto"/>
        <w:bottom w:val="none" w:sz="0" w:space="0" w:color="auto"/>
        <w:right w:val="none" w:sz="0" w:space="0" w:color="auto"/>
      </w:divBdr>
    </w:div>
    <w:div w:id="1841389032">
      <w:bodyDiv w:val="1"/>
      <w:marLeft w:val="0"/>
      <w:marRight w:val="0"/>
      <w:marTop w:val="0"/>
      <w:marBottom w:val="0"/>
      <w:divBdr>
        <w:top w:val="none" w:sz="0" w:space="0" w:color="auto"/>
        <w:left w:val="none" w:sz="0" w:space="0" w:color="auto"/>
        <w:bottom w:val="none" w:sz="0" w:space="0" w:color="auto"/>
        <w:right w:val="none" w:sz="0" w:space="0" w:color="auto"/>
      </w:divBdr>
    </w:div>
    <w:div w:id="1922442552">
      <w:bodyDiv w:val="1"/>
      <w:marLeft w:val="0"/>
      <w:marRight w:val="0"/>
      <w:marTop w:val="0"/>
      <w:marBottom w:val="0"/>
      <w:divBdr>
        <w:top w:val="none" w:sz="0" w:space="0" w:color="auto"/>
        <w:left w:val="none" w:sz="0" w:space="0" w:color="auto"/>
        <w:bottom w:val="none" w:sz="0" w:space="0" w:color="auto"/>
        <w:right w:val="none" w:sz="0" w:space="0" w:color="auto"/>
      </w:divBdr>
    </w:div>
    <w:div w:id="209770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ropskasredstva.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7" ma:contentTypeDescription="Crée un document." ma:contentTypeScope="" ma:versionID="dc2f4626d67137780b08c2a7e9b000cb">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723a8bc546a816adb1c7177093903c4b"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06FD24-22A6-4CCB-8363-83D7A647E4B1}">
  <ds:schemaRefs>
    <ds:schemaRef ds:uri="http://schemas.openxmlformats.org/officeDocument/2006/bibliography"/>
  </ds:schemaRefs>
</ds:datastoreItem>
</file>

<file path=customXml/itemProps2.xml><?xml version="1.0" encoding="utf-8"?>
<ds:datastoreItem xmlns:ds="http://schemas.openxmlformats.org/officeDocument/2006/customXml" ds:itemID="{75356D46-FC06-4E2C-B7DB-6E99CB9104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7BECBC-5120-4FE6-A616-D94987E6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0130C-A2DA-48C9-9464-810060B69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Template>
  <TotalTime>169</TotalTime>
  <Pages>16</Pages>
  <Words>8004</Words>
  <Characters>45628</Characters>
  <Application>Microsoft Office Word</Application>
  <DocSecurity>0</DocSecurity>
  <Lines>380</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Brešćanski</dc:creator>
  <cp:keywords/>
  <dc:description/>
  <cp:lastModifiedBy>Mirjam Senčar </cp:lastModifiedBy>
  <cp:revision>13</cp:revision>
  <cp:lastPrinted>2022-09-22T13:13:00Z</cp:lastPrinted>
  <dcterms:created xsi:type="dcterms:W3CDTF">2026-03-30T14:17:00Z</dcterms:created>
  <dcterms:modified xsi:type="dcterms:W3CDTF">2026-04-03T07:27:00Z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SG-068</vt:lpwstr>
  </property>
  <property fmtid="{D5CDD505-2E9C-101B-9397-08002B2CF9AE}" pid="13" name="ContentTypeId">
    <vt:lpwstr>0x010100199782AF6692CB4E8097BF428225D135</vt:lpwstr>
  </property>
  <property fmtid="{D5CDD505-2E9C-101B-9397-08002B2CF9AE}" pid="14" name="MSIP_Label_6bd9ddd1-4d20-43f6-abfa-fc3c07406f94_Enabled">
    <vt:lpwstr>true</vt:lpwstr>
  </property>
  <property fmtid="{D5CDD505-2E9C-101B-9397-08002B2CF9AE}" pid="15" name="MSIP_Label_6bd9ddd1-4d20-43f6-abfa-fc3c07406f94_SetDate">
    <vt:lpwstr>2022-08-23T10:50:18Z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d0a220a1-afb2-4b93-b3b6-3b67db7df70a</vt:lpwstr>
  </property>
  <property fmtid="{D5CDD505-2E9C-101B-9397-08002B2CF9AE}" pid="20" name="MSIP_Label_6bd9ddd1-4d20-43f6-abfa-fc3c07406f94_ContentBits">
    <vt:lpwstr>0</vt:lpwstr>
  </property>
  <property fmtid="{D5CDD505-2E9C-101B-9397-08002B2CF9AE}" pid="21" name="DQCStatus">
    <vt:lpwstr>Green (DQC version 03)</vt:lpwstr>
  </property>
</Properties>
</file>