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9B89" w14:textId="77777777" w:rsidR="00152894" w:rsidRPr="00EA590A" w:rsidRDefault="008F15E7" w:rsidP="006A41E2">
      <w:pPr>
        <w:pStyle w:val="Annexetitre"/>
        <w:rPr>
          <w:noProof/>
          <w:sz w:val="22"/>
        </w:rPr>
      </w:pPr>
      <w:r w:rsidRPr="00EA590A">
        <w:rPr>
          <w:noProof/>
          <w:sz w:val="22"/>
        </w:rPr>
        <w:t>L</w:t>
      </w:r>
      <w:r w:rsidR="00EA2959" w:rsidRPr="00EA590A">
        <w:rPr>
          <w:noProof/>
          <w:sz w:val="22"/>
        </w:rPr>
        <w:t xml:space="preserve">etno poročilo o smotrnosti Sklada za notranjo varnost iz </w:t>
      </w:r>
      <w:r w:rsidRPr="00EA590A">
        <w:rPr>
          <w:noProof/>
          <w:sz w:val="22"/>
        </w:rPr>
        <w:t>člena 30 Uredbe (EU) 2021/1149</w:t>
      </w:r>
    </w:p>
    <w:p w14:paraId="5FA682FA" w14:textId="77777777" w:rsidR="006A41E2" w:rsidRPr="00EA590A" w:rsidRDefault="006A41E2" w:rsidP="006A41E2">
      <w:pPr>
        <w:pStyle w:val="ManualHeading1"/>
        <w:rPr>
          <w:noProof/>
          <w:sz w:val="22"/>
        </w:rPr>
      </w:pPr>
      <w:r w:rsidRPr="00EA590A">
        <w:rPr>
          <w:noProof/>
          <w:sz w:val="22"/>
        </w:rPr>
        <w:t>OPREDELITEV</w:t>
      </w:r>
    </w:p>
    <w:tbl>
      <w:tblPr>
        <w:tblStyle w:val="Tabelamrea"/>
        <w:tblW w:w="9289" w:type="dxa"/>
        <w:tblLook w:val="04A0" w:firstRow="1" w:lastRow="0" w:firstColumn="1" w:lastColumn="0" w:noHBand="0" w:noVBand="1"/>
      </w:tblPr>
      <w:tblGrid>
        <w:gridCol w:w="4531"/>
        <w:gridCol w:w="4758"/>
      </w:tblGrid>
      <w:tr w:rsidR="00EA590A" w:rsidRPr="00EA590A" w14:paraId="7671C329" w14:textId="77777777" w:rsidTr="006A1F00">
        <w:tc>
          <w:tcPr>
            <w:tcW w:w="4531" w:type="dxa"/>
          </w:tcPr>
          <w:p w14:paraId="11FB911B" w14:textId="77777777" w:rsidR="00832BD0" w:rsidRPr="00EA590A" w:rsidRDefault="00832BD0" w:rsidP="00832BD0">
            <w:pPr>
              <w:pStyle w:val="Personnequisigne"/>
              <w:rPr>
                <w:i w:val="0"/>
                <w:iCs/>
                <w:noProof/>
                <w:sz w:val="22"/>
              </w:rPr>
            </w:pPr>
            <w:r w:rsidRPr="00EA590A">
              <w:rPr>
                <w:i w:val="0"/>
                <w:iCs/>
                <w:noProof/>
                <w:sz w:val="22"/>
              </w:rPr>
              <w:t>CCI</w:t>
            </w:r>
          </w:p>
        </w:tc>
        <w:tc>
          <w:tcPr>
            <w:tcW w:w="4758" w:type="dxa"/>
          </w:tcPr>
          <w:p w14:paraId="7AFA7BF1" w14:textId="77777777" w:rsidR="00832BD0" w:rsidRPr="00EA590A" w:rsidRDefault="00832BD0" w:rsidP="00832BD0">
            <w:pPr>
              <w:pStyle w:val="Personnequisigne"/>
              <w:rPr>
                <w:i w:val="0"/>
                <w:iCs/>
                <w:noProof/>
                <w:sz w:val="22"/>
              </w:rPr>
            </w:pPr>
            <w:r w:rsidRPr="00EA590A">
              <w:rPr>
                <w:i w:val="0"/>
                <w:iCs/>
                <w:noProof/>
                <w:sz w:val="22"/>
              </w:rPr>
              <w:t>2021SI65ISPR001</w:t>
            </w:r>
          </w:p>
        </w:tc>
      </w:tr>
      <w:tr w:rsidR="00EA590A" w:rsidRPr="00EA590A" w14:paraId="2591332E" w14:textId="77777777" w:rsidTr="006A1F00">
        <w:tc>
          <w:tcPr>
            <w:tcW w:w="4531" w:type="dxa"/>
          </w:tcPr>
          <w:p w14:paraId="0558EA6B" w14:textId="77777777" w:rsidR="00832BD0" w:rsidRPr="00EA590A" w:rsidRDefault="00832BD0" w:rsidP="00832BD0">
            <w:pPr>
              <w:pStyle w:val="Personnequisigne"/>
              <w:rPr>
                <w:i w:val="0"/>
                <w:iCs/>
                <w:noProof/>
                <w:sz w:val="22"/>
              </w:rPr>
            </w:pPr>
            <w:r w:rsidRPr="00EA590A">
              <w:rPr>
                <w:i w:val="0"/>
                <w:iCs/>
                <w:noProof/>
                <w:sz w:val="22"/>
              </w:rPr>
              <w:t>Naslov</w:t>
            </w:r>
          </w:p>
        </w:tc>
        <w:tc>
          <w:tcPr>
            <w:tcW w:w="4758" w:type="dxa"/>
          </w:tcPr>
          <w:p w14:paraId="3F25BB5A" w14:textId="77777777" w:rsidR="00832BD0" w:rsidRPr="00EA590A" w:rsidRDefault="00832BD0" w:rsidP="00832BD0">
            <w:pPr>
              <w:pStyle w:val="Personnequisigne"/>
              <w:rPr>
                <w:i w:val="0"/>
                <w:iCs/>
                <w:noProof/>
                <w:sz w:val="22"/>
              </w:rPr>
            </w:pPr>
            <w:r w:rsidRPr="00EA590A">
              <w:rPr>
                <w:i w:val="0"/>
                <w:iCs/>
                <w:noProof/>
                <w:sz w:val="22"/>
              </w:rPr>
              <w:t>Programme Slovenia-ISF</w:t>
            </w:r>
          </w:p>
        </w:tc>
      </w:tr>
      <w:tr w:rsidR="00EA590A" w:rsidRPr="00EA590A" w14:paraId="2438DD9A" w14:textId="77777777" w:rsidTr="006A1F00">
        <w:tc>
          <w:tcPr>
            <w:tcW w:w="4531" w:type="dxa"/>
          </w:tcPr>
          <w:p w14:paraId="4E652A20" w14:textId="77777777" w:rsidR="00832BD0" w:rsidRPr="00EA590A" w:rsidRDefault="00832BD0" w:rsidP="00832BD0">
            <w:pPr>
              <w:pStyle w:val="Personnequisigne"/>
              <w:rPr>
                <w:i w:val="0"/>
                <w:iCs/>
                <w:noProof/>
                <w:sz w:val="22"/>
              </w:rPr>
            </w:pPr>
            <w:r w:rsidRPr="00EA590A">
              <w:rPr>
                <w:i w:val="0"/>
                <w:iCs/>
                <w:noProof/>
                <w:sz w:val="22"/>
              </w:rPr>
              <w:t>Različica</w:t>
            </w:r>
          </w:p>
        </w:tc>
        <w:tc>
          <w:tcPr>
            <w:tcW w:w="4758" w:type="dxa"/>
          </w:tcPr>
          <w:p w14:paraId="1A0DF33B" w14:textId="201647BF" w:rsidR="00832BD0" w:rsidRPr="00EA590A" w:rsidRDefault="006A1F00" w:rsidP="00832BD0">
            <w:pPr>
              <w:pStyle w:val="Personnequisigne"/>
              <w:rPr>
                <w:i w:val="0"/>
                <w:iCs/>
                <w:noProof/>
                <w:sz w:val="22"/>
              </w:rPr>
            </w:pPr>
            <w:r w:rsidRPr="00EA590A">
              <w:rPr>
                <w:i w:val="0"/>
                <w:iCs/>
                <w:noProof/>
                <w:sz w:val="22"/>
              </w:rPr>
              <w:t>1.0</w:t>
            </w:r>
          </w:p>
        </w:tc>
      </w:tr>
      <w:tr w:rsidR="00EA590A" w:rsidRPr="00EA590A" w14:paraId="60D33CC8" w14:textId="77777777" w:rsidTr="006A1F00">
        <w:tc>
          <w:tcPr>
            <w:tcW w:w="4531" w:type="dxa"/>
          </w:tcPr>
          <w:p w14:paraId="349A1524" w14:textId="77777777" w:rsidR="00832BD0" w:rsidRPr="00EA590A" w:rsidRDefault="00832BD0" w:rsidP="00832BD0">
            <w:pPr>
              <w:pStyle w:val="Personnequisigne"/>
              <w:rPr>
                <w:i w:val="0"/>
                <w:iCs/>
                <w:noProof/>
                <w:sz w:val="22"/>
              </w:rPr>
            </w:pPr>
            <w:r w:rsidRPr="00EA590A">
              <w:rPr>
                <w:i w:val="0"/>
                <w:iCs/>
                <w:noProof/>
                <w:sz w:val="22"/>
              </w:rPr>
              <w:t>Obračunsko leto</w:t>
            </w:r>
          </w:p>
        </w:tc>
        <w:tc>
          <w:tcPr>
            <w:tcW w:w="4758" w:type="dxa"/>
          </w:tcPr>
          <w:p w14:paraId="1629E8C3" w14:textId="082A5B0F" w:rsidR="00832BD0" w:rsidRPr="00EA590A" w:rsidRDefault="00AC05F5" w:rsidP="00832BD0">
            <w:pPr>
              <w:pStyle w:val="Personnequisigne"/>
              <w:rPr>
                <w:i w:val="0"/>
                <w:iCs/>
                <w:noProof/>
                <w:sz w:val="22"/>
              </w:rPr>
            </w:pPr>
            <w:r w:rsidRPr="00EA590A">
              <w:rPr>
                <w:i w:val="0"/>
                <w:iCs/>
                <w:noProof/>
                <w:sz w:val="22"/>
              </w:rPr>
              <w:t>1.7</w:t>
            </w:r>
            <w:r w:rsidR="00AA72B1" w:rsidRPr="00EA590A">
              <w:rPr>
                <w:i w:val="0"/>
                <w:iCs/>
                <w:noProof/>
                <w:sz w:val="22"/>
              </w:rPr>
              <w:t>.202</w:t>
            </w:r>
            <w:r w:rsidRPr="00EA590A">
              <w:rPr>
                <w:i w:val="0"/>
                <w:iCs/>
                <w:noProof/>
                <w:sz w:val="22"/>
              </w:rPr>
              <w:t>4</w:t>
            </w:r>
            <w:r w:rsidR="00AA72B1" w:rsidRPr="00EA590A">
              <w:rPr>
                <w:i w:val="0"/>
                <w:iCs/>
                <w:noProof/>
                <w:sz w:val="22"/>
              </w:rPr>
              <w:t>-30.6.202</w:t>
            </w:r>
            <w:r w:rsidRPr="00EA590A">
              <w:rPr>
                <w:i w:val="0"/>
                <w:iCs/>
                <w:noProof/>
                <w:sz w:val="22"/>
              </w:rPr>
              <w:t>5</w:t>
            </w:r>
          </w:p>
        </w:tc>
      </w:tr>
      <w:tr w:rsidR="00EA590A" w:rsidRPr="00EA590A" w14:paraId="1A9EF019" w14:textId="77777777" w:rsidTr="006A1F00">
        <w:trPr>
          <w:trHeight w:val="70"/>
        </w:trPr>
        <w:tc>
          <w:tcPr>
            <w:tcW w:w="4531" w:type="dxa"/>
          </w:tcPr>
          <w:p w14:paraId="22CFAA7C" w14:textId="77777777" w:rsidR="00832BD0" w:rsidRPr="00EA590A" w:rsidRDefault="00832BD0" w:rsidP="00832BD0">
            <w:pPr>
              <w:pStyle w:val="Personnequisigne"/>
              <w:rPr>
                <w:i w:val="0"/>
                <w:iCs/>
                <w:noProof/>
                <w:sz w:val="22"/>
              </w:rPr>
            </w:pPr>
            <w:r w:rsidRPr="00EA590A">
              <w:rPr>
                <w:i w:val="0"/>
                <w:iCs/>
                <w:noProof/>
                <w:sz w:val="22"/>
              </w:rPr>
              <w:t>Datum potrditve poročila s strani odbora za spremljanje</w:t>
            </w:r>
          </w:p>
        </w:tc>
        <w:tc>
          <w:tcPr>
            <w:tcW w:w="4758" w:type="dxa"/>
          </w:tcPr>
          <w:p w14:paraId="13CC2B1F" w14:textId="1A5C2F28" w:rsidR="00832BD0" w:rsidRPr="00EA590A" w:rsidRDefault="00832BD0" w:rsidP="00832BD0">
            <w:pPr>
              <w:pStyle w:val="Personnequisigne"/>
              <w:rPr>
                <w:i w:val="0"/>
                <w:iCs/>
                <w:noProof/>
                <w:sz w:val="22"/>
              </w:rPr>
            </w:pPr>
          </w:p>
        </w:tc>
      </w:tr>
    </w:tbl>
    <w:p w14:paraId="5E6DAC86" w14:textId="77777777" w:rsidR="006A41E2" w:rsidRPr="00EA590A" w:rsidRDefault="00C30ACF" w:rsidP="00C30ACF">
      <w:pPr>
        <w:pStyle w:val="ManualHeading1"/>
        <w:rPr>
          <w:noProof/>
          <w:sz w:val="22"/>
        </w:rPr>
      </w:pPr>
      <w:r w:rsidRPr="00EA590A">
        <w:rPr>
          <w:sz w:val="22"/>
        </w:rPr>
        <w:t>1.</w:t>
      </w:r>
      <w:r w:rsidRPr="00EA590A">
        <w:rPr>
          <w:sz w:val="22"/>
        </w:rPr>
        <w:tab/>
      </w:r>
      <w:r w:rsidR="006A41E2" w:rsidRPr="00EA590A">
        <w:rPr>
          <w:noProof/>
          <w:sz w:val="22"/>
        </w:rPr>
        <w:t>Smotrnost</w:t>
      </w:r>
    </w:p>
    <w:p w14:paraId="3080686C" w14:textId="77777777" w:rsidR="006A41E2" w:rsidRPr="00EA590A" w:rsidRDefault="00C30ACF" w:rsidP="00C30ACF">
      <w:pPr>
        <w:pStyle w:val="ManualHeading2"/>
        <w:rPr>
          <w:noProof/>
          <w:sz w:val="22"/>
        </w:rPr>
      </w:pPr>
      <w:r w:rsidRPr="00EA590A">
        <w:rPr>
          <w:sz w:val="22"/>
        </w:rPr>
        <w:t>1.1.</w:t>
      </w:r>
      <w:r w:rsidRPr="00EA590A">
        <w:rPr>
          <w:sz w:val="22"/>
        </w:rPr>
        <w:tab/>
      </w:r>
      <w:r w:rsidR="006A41E2" w:rsidRPr="00EA590A">
        <w:rPr>
          <w:noProof/>
          <w:sz w:val="22"/>
        </w:rPr>
        <w:t>Napredek pri izvajanju – člen 30(2), točka (a), Uredbe (EU) 2021/1149</w:t>
      </w:r>
    </w:p>
    <w:p w14:paraId="4932C59C" w14:textId="77777777" w:rsidR="006A41E2" w:rsidRPr="00EA590A" w:rsidRDefault="006A41E2" w:rsidP="006A41E2">
      <w:pPr>
        <w:rPr>
          <w:noProof/>
          <w:sz w:val="22"/>
        </w:rPr>
      </w:pPr>
      <w:r w:rsidRPr="00EA590A">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3BD3CB5D" w14:textId="77777777" w:rsidR="006A41E2" w:rsidRPr="00EA590A" w:rsidRDefault="006A41E2" w:rsidP="006A41E2">
      <w:pPr>
        <w:rPr>
          <w:noProof/>
          <w:sz w:val="22"/>
        </w:rPr>
      </w:pPr>
      <w:r w:rsidRPr="00EA590A">
        <w:rPr>
          <w:noProof/>
          <w:sz w:val="22"/>
        </w:rPr>
        <w:t xml:space="preserve">V okviru vsakega specifičnega cilja bi morale biti informacije o napredku po možnosti strukturirane po izvedbenih ukrepih, okvirnih ukrepih in želenih rezultatih, opredeljenih v programu. </w:t>
      </w:r>
    </w:p>
    <w:p w14:paraId="472D7285" w14:textId="77777777" w:rsidR="006A41E2" w:rsidRPr="00EA590A" w:rsidRDefault="001F7F00" w:rsidP="006A41E2">
      <w:pPr>
        <w:rPr>
          <w:noProof/>
          <w:sz w:val="22"/>
        </w:rPr>
      </w:pPr>
      <w:r w:rsidRPr="00EA590A">
        <w:rPr>
          <w:noProof/>
          <w:sz w:val="22"/>
        </w:rPr>
        <w:t xml:space="preserve">Opišite tudi vse sprejete ukrepe in zadevne dejavnosti v zvezi z izvajanjem partnerstva v skladu s členom 8(2) Uredbe (EU) 2021/1060. </w:t>
      </w:r>
    </w:p>
    <w:tbl>
      <w:tblPr>
        <w:tblStyle w:val="Tabelamrea"/>
        <w:tblW w:w="0" w:type="auto"/>
        <w:tblLook w:val="04A0" w:firstRow="1" w:lastRow="0" w:firstColumn="1" w:lastColumn="0" w:noHBand="0" w:noVBand="1"/>
      </w:tblPr>
      <w:tblGrid>
        <w:gridCol w:w="9063"/>
      </w:tblGrid>
      <w:tr w:rsidR="00EA590A" w:rsidRPr="00EA590A" w14:paraId="306194B8" w14:textId="77777777" w:rsidTr="003C647E">
        <w:trPr>
          <w:trHeight w:val="4952"/>
        </w:trPr>
        <w:tc>
          <w:tcPr>
            <w:tcW w:w="9289" w:type="dxa"/>
          </w:tcPr>
          <w:p w14:paraId="31507B99" w14:textId="4D4BCDDA" w:rsidR="00254B7E" w:rsidRPr="00EA590A" w:rsidRDefault="00254B7E" w:rsidP="00254B7E">
            <w:pPr>
              <w:pStyle w:val="Personnequisigne"/>
              <w:jc w:val="both"/>
              <w:rPr>
                <w:i w:val="0"/>
                <w:sz w:val="22"/>
              </w:rPr>
            </w:pPr>
            <w:bookmarkStart w:id="0" w:name="_Hlk221086697"/>
            <w:r w:rsidRPr="00EA590A">
              <w:rPr>
                <w:i w:val="0"/>
                <w:sz w:val="22"/>
              </w:rPr>
              <w:t>Slovenija v obračunskem obdobju poročanja, tj. od 1.</w:t>
            </w:r>
            <w:r w:rsidR="001B37E9" w:rsidRPr="00EA590A">
              <w:rPr>
                <w:i w:val="0"/>
                <w:sz w:val="22"/>
              </w:rPr>
              <w:t> </w:t>
            </w:r>
            <w:r w:rsidRPr="00EA590A">
              <w:rPr>
                <w:i w:val="0"/>
                <w:sz w:val="22"/>
              </w:rPr>
              <w:t>7.</w:t>
            </w:r>
            <w:r w:rsidR="001B37E9" w:rsidRPr="00EA590A">
              <w:rPr>
                <w:i w:val="0"/>
                <w:sz w:val="22"/>
              </w:rPr>
              <w:t> </w:t>
            </w:r>
            <w:r w:rsidRPr="00EA590A">
              <w:rPr>
                <w:i w:val="0"/>
                <w:sz w:val="22"/>
              </w:rPr>
              <w:t>2024 do 30.</w:t>
            </w:r>
            <w:r w:rsidR="001B37E9" w:rsidRPr="00EA590A">
              <w:rPr>
                <w:i w:val="0"/>
                <w:sz w:val="22"/>
              </w:rPr>
              <w:t> </w:t>
            </w:r>
            <w:r w:rsidRPr="00EA590A">
              <w:rPr>
                <w:i w:val="0"/>
                <w:sz w:val="22"/>
              </w:rPr>
              <w:t>6.</w:t>
            </w:r>
            <w:r w:rsidR="001B37E9" w:rsidRPr="00EA590A">
              <w:rPr>
                <w:i w:val="0"/>
                <w:sz w:val="22"/>
              </w:rPr>
              <w:t> </w:t>
            </w:r>
            <w:r w:rsidRPr="00EA590A">
              <w:rPr>
                <w:i w:val="0"/>
                <w:sz w:val="22"/>
              </w:rPr>
              <w:t xml:space="preserve">2025, izvajala večino načrtovanih aktivnosti iz programa SNV. Vzpostavljen informacijski sistem MIGRA III, preko katerega poteka izmenjava informacij med organom upravljanja (OU) in upravičenci, </w:t>
            </w:r>
            <w:proofErr w:type="spellStart"/>
            <w:r w:rsidRPr="00EA590A">
              <w:rPr>
                <w:i w:val="0"/>
                <w:sz w:val="22"/>
              </w:rPr>
              <w:t>t.j</w:t>
            </w:r>
            <w:proofErr w:type="spellEnd"/>
            <w:r w:rsidRPr="00EA590A">
              <w:rPr>
                <w:i w:val="0"/>
                <w:sz w:val="22"/>
              </w:rPr>
              <w:t>. oddaja prijav operacij, poročanje o izvajanju operacij (zahtevki za povračilo), se redno nadgrajuje, vzdržuje in posodablja.</w:t>
            </w:r>
          </w:p>
          <w:p w14:paraId="77A25E97" w14:textId="49FDF7EC" w:rsidR="00254B7E" w:rsidRPr="00EA590A" w:rsidRDefault="00254B7E" w:rsidP="00254B7E">
            <w:pPr>
              <w:rPr>
                <w:sz w:val="22"/>
              </w:rPr>
            </w:pPr>
            <w:r w:rsidRPr="00EA590A">
              <w:rPr>
                <w:sz w:val="22"/>
              </w:rPr>
              <w:t xml:space="preserve">V delu je bila nova različica programa SNV, zaradi dodelitve dodatnih sredstev vmesnega pregleda ter nekaterih posodobitev aktivnosti (nove povečane finančne potrebe ali spremenjene okoliščine). Akcijski načrt SNV, na podlagi katerega se dodelijo finančna sredstva, je bil dvakrat posodobljen (verzija 4.0, 5.0). </w:t>
            </w:r>
            <w:r w:rsidR="002440BE" w:rsidRPr="00EA590A">
              <w:rPr>
                <w:sz w:val="22"/>
              </w:rPr>
              <w:t xml:space="preserve">S tem se je formalno uredil prenos 5 % iz IUMV in izvedla uskladitev dinamike porabe. </w:t>
            </w:r>
            <w:r w:rsidRPr="00EA590A">
              <w:rPr>
                <w:sz w:val="22"/>
              </w:rPr>
              <w:t xml:space="preserve">Od 40 predvidenih operacij (39 neposrednih in 1 javni razpis) jih je bilo 34 v izvajanju, 1 pa že zaključena (SA-EMPACT). Ponovljen javni razpis za zaščito žrtev trgovine z ljudmi je bil uspešno zaključen in izbran izvajalec. </w:t>
            </w:r>
          </w:p>
          <w:p w14:paraId="2B13C809" w14:textId="77777777" w:rsidR="00254B7E" w:rsidRPr="00EA590A" w:rsidRDefault="00254B7E" w:rsidP="00254B7E">
            <w:pPr>
              <w:pStyle w:val="Personnequisigne"/>
              <w:jc w:val="both"/>
              <w:rPr>
                <w:i w:val="0"/>
                <w:sz w:val="22"/>
              </w:rPr>
            </w:pPr>
          </w:p>
          <w:p w14:paraId="30EDBA71" w14:textId="7A3976D5" w:rsidR="00254B7E" w:rsidRPr="00EA590A" w:rsidRDefault="00254B7E" w:rsidP="00254B7E">
            <w:pPr>
              <w:pStyle w:val="Brezrazmikov"/>
              <w:jc w:val="both"/>
              <w:rPr>
                <w:rFonts w:ascii="Times New Roman" w:eastAsia="TimesNewRoman" w:hAnsi="Times New Roman" w:cs="Times New Roman"/>
              </w:rPr>
            </w:pPr>
            <w:r w:rsidRPr="00EA590A">
              <w:rPr>
                <w:rFonts w:ascii="Times New Roman" w:hAnsi="Times New Roman" w:cs="Times New Roman"/>
                <w:shd w:val="clear" w:color="auto" w:fill="FFFFFF"/>
              </w:rPr>
              <w:t xml:space="preserve">V okviru </w:t>
            </w:r>
            <w:r w:rsidRPr="00EA590A">
              <w:rPr>
                <w:rFonts w:ascii="Times New Roman" w:hAnsi="Times New Roman" w:cs="Times New Roman"/>
                <w:b/>
                <w:u w:val="single"/>
                <w:shd w:val="clear" w:color="auto" w:fill="FFFFFF"/>
              </w:rPr>
              <w:t>Specifičnega cilja 1</w:t>
            </w:r>
            <w:r w:rsidRPr="00EA590A">
              <w:rPr>
                <w:rFonts w:ascii="Times New Roman" w:hAnsi="Times New Roman" w:cs="Times New Roman"/>
                <w:shd w:val="clear" w:color="auto" w:fill="FFFFFF"/>
              </w:rPr>
              <w:t xml:space="preserve">  je skupni cilj izboljšati in olajšati izmenjavo informacij na EU ravni. </w:t>
            </w:r>
            <w:r w:rsidRPr="00EA590A">
              <w:rPr>
                <w:rFonts w:ascii="Times New Roman" w:hAnsi="Times New Roman" w:cs="Times New Roman"/>
              </w:rPr>
              <w:t>V ta namen je bil</w:t>
            </w:r>
            <w:r w:rsidR="001B37E9" w:rsidRPr="00EA590A">
              <w:rPr>
                <w:rFonts w:ascii="Times New Roman" w:hAnsi="Times New Roman" w:cs="Times New Roman"/>
              </w:rPr>
              <w:t>,</w:t>
            </w:r>
            <w:r w:rsidRPr="00EA590A">
              <w:rPr>
                <w:rFonts w:ascii="Times New Roman" w:hAnsi="Times New Roman" w:cs="Times New Roman"/>
              </w:rPr>
              <w:t xml:space="preserve"> znotraj </w:t>
            </w:r>
            <w:r w:rsidRPr="00EA590A">
              <w:rPr>
                <w:rFonts w:ascii="Times New Roman" w:hAnsi="Times New Roman" w:cs="Times New Roman"/>
                <w:b/>
              </w:rPr>
              <w:t>ukrepa 1a</w:t>
            </w:r>
            <w:r w:rsidRPr="00EA590A">
              <w:rPr>
                <w:rFonts w:ascii="Times New Roman" w:hAnsi="Times New Roman" w:cs="Times New Roman"/>
              </w:rPr>
              <w:t xml:space="preserve"> za zagotovitev enotne uporabe pravnega reda EU, izveden </w:t>
            </w:r>
            <w:r w:rsidRPr="00EA590A">
              <w:rPr>
                <w:rFonts w:ascii="Times New Roman" w:hAnsi="Times New Roman" w:cs="Times New Roman"/>
                <w:shd w:val="clear" w:color="auto" w:fill="FFFFFF"/>
              </w:rPr>
              <w:t xml:space="preserve">prenos PNR aplikacije na novo sodobno platformo CEPIS (Centralni policijski informacijski sistem), predstavnik Policije pa se je udeležil dveh strokovnih srečanj za nadaljnji razvoj sistema PNR in implementacijo API uredbe. Glavni doseženi cilj je </w:t>
            </w:r>
            <w:r w:rsidRPr="00EA590A">
              <w:rPr>
                <w:rFonts w:ascii="Times New Roman" w:eastAsia="TimesNewRoman" w:hAnsi="Times New Roman" w:cs="Times New Roman"/>
              </w:rPr>
              <w:t>vzpostavitev informacijske infrastrukture, skladne  z EU zahtevam</w:t>
            </w:r>
            <w:r w:rsidR="001B37E9" w:rsidRPr="00EA590A">
              <w:rPr>
                <w:rFonts w:ascii="Times New Roman" w:eastAsia="TimesNewRoman" w:hAnsi="Times New Roman" w:cs="Times New Roman"/>
              </w:rPr>
              <w:t>i</w:t>
            </w:r>
            <w:r w:rsidRPr="00EA590A">
              <w:rPr>
                <w:rFonts w:ascii="Times New Roman" w:eastAsia="TimesNewRoman" w:hAnsi="Times New Roman" w:cs="Times New Roman"/>
              </w:rPr>
              <w:t xml:space="preserve">. </w:t>
            </w:r>
          </w:p>
          <w:p w14:paraId="2B164B3B" w14:textId="77777777" w:rsidR="00254B7E" w:rsidRPr="00EA590A" w:rsidRDefault="00254B7E" w:rsidP="00254B7E">
            <w:pPr>
              <w:pStyle w:val="Brezrazmikov"/>
              <w:jc w:val="both"/>
              <w:rPr>
                <w:rFonts w:ascii="Times New Roman" w:hAnsi="Times New Roman" w:cs="Times New Roman"/>
                <w:shd w:val="clear" w:color="auto" w:fill="FFFFFF"/>
              </w:rPr>
            </w:pPr>
          </w:p>
          <w:p w14:paraId="1150E988" w14:textId="77777777" w:rsidR="00254B7E" w:rsidRPr="00EA590A" w:rsidRDefault="00254B7E" w:rsidP="00254B7E">
            <w:pPr>
              <w:pStyle w:val="Brezrazmikov"/>
              <w:jc w:val="both"/>
              <w:rPr>
                <w:rFonts w:ascii="Times New Roman" w:hAnsi="Times New Roman" w:cs="Times New Roman"/>
                <w:shd w:val="clear" w:color="auto" w:fill="FFFFFF"/>
              </w:rPr>
            </w:pPr>
            <w:r w:rsidRPr="00EA590A">
              <w:rPr>
                <w:rFonts w:ascii="Times New Roman" w:hAnsi="Times New Roman" w:cs="Times New Roman"/>
              </w:rPr>
              <w:t xml:space="preserve">Za boju proti spolnemu izkoriščanju mladoletnikov so bile kupljene delovne postaje in licence za testiranje centralne baze podatkov (NCSE DB), predstavnik policije se je udeležil </w:t>
            </w:r>
            <w:r w:rsidRPr="00EA590A">
              <w:rPr>
                <w:rFonts w:ascii="Times New Roman" w:hAnsi="Times New Roman" w:cs="Times New Roman"/>
                <w:shd w:val="clear" w:color="auto" w:fill="FFFFFF"/>
              </w:rPr>
              <w:t xml:space="preserve">usposabljanja »41st Interpol </w:t>
            </w:r>
            <w:proofErr w:type="spellStart"/>
            <w:r w:rsidRPr="00EA590A">
              <w:rPr>
                <w:rFonts w:ascii="Times New Roman" w:hAnsi="Times New Roman" w:cs="Times New Roman"/>
                <w:shd w:val="clear" w:color="auto" w:fill="FFFFFF"/>
              </w:rPr>
              <w:t>Specialists</w:t>
            </w:r>
            <w:proofErr w:type="spellEnd"/>
            <w:r w:rsidRPr="00EA590A">
              <w:rPr>
                <w:rFonts w:ascii="Times New Roman" w:hAnsi="Times New Roman" w:cs="Times New Roman"/>
                <w:shd w:val="clear" w:color="auto" w:fill="FFFFFF"/>
              </w:rPr>
              <w:t xml:space="preserve"> </w:t>
            </w:r>
            <w:proofErr w:type="spellStart"/>
            <w:r w:rsidRPr="00EA590A">
              <w:rPr>
                <w:rFonts w:ascii="Times New Roman" w:hAnsi="Times New Roman" w:cs="Times New Roman"/>
                <w:shd w:val="clear" w:color="auto" w:fill="FFFFFF"/>
              </w:rPr>
              <w:t>Group</w:t>
            </w:r>
            <w:proofErr w:type="spellEnd"/>
            <w:r w:rsidRPr="00EA590A">
              <w:rPr>
                <w:rFonts w:ascii="Times New Roman" w:hAnsi="Times New Roman" w:cs="Times New Roman"/>
                <w:shd w:val="clear" w:color="auto" w:fill="FFFFFF"/>
              </w:rPr>
              <w:t xml:space="preserve"> On </w:t>
            </w:r>
            <w:proofErr w:type="spellStart"/>
            <w:r w:rsidRPr="00EA590A">
              <w:rPr>
                <w:rFonts w:ascii="Times New Roman" w:hAnsi="Times New Roman" w:cs="Times New Roman"/>
                <w:shd w:val="clear" w:color="auto" w:fill="FFFFFF"/>
              </w:rPr>
              <w:t>Crimes</w:t>
            </w:r>
            <w:proofErr w:type="spellEnd"/>
            <w:r w:rsidRPr="00EA590A">
              <w:rPr>
                <w:rFonts w:ascii="Times New Roman" w:hAnsi="Times New Roman" w:cs="Times New Roman"/>
                <w:shd w:val="clear" w:color="auto" w:fill="FFFFFF"/>
              </w:rPr>
              <w:t xml:space="preserve"> </w:t>
            </w:r>
            <w:proofErr w:type="spellStart"/>
            <w:r w:rsidRPr="00EA590A">
              <w:rPr>
                <w:rFonts w:ascii="Times New Roman" w:hAnsi="Times New Roman" w:cs="Times New Roman"/>
                <w:shd w:val="clear" w:color="auto" w:fill="FFFFFF"/>
              </w:rPr>
              <w:t>Against</w:t>
            </w:r>
            <w:proofErr w:type="spellEnd"/>
            <w:r w:rsidRPr="00EA590A">
              <w:rPr>
                <w:rFonts w:ascii="Times New Roman" w:hAnsi="Times New Roman" w:cs="Times New Roman"/>
                <w:shd w:val="clear" w:color="auto" w:fill="FFFFFF"/>
              </w:rPr>
              <w:t xml:space="preserve"> </w:t>
            </w:r>
            <w:proofErr w:type="spellStart"/>
            <w:r w:rsidRPr="00EA590A">
              <w:rPr>
                <w:rFonts w:ascii="Times New Roman" w:hAnsi="Times New Roman" w:cs="Times New Roman"/>
                <w:shd w:val="clear" w:color="auto" w:fill="FFFFFF"/>
              </w:rPr>
              <w:t>Children</w:t>
            </w:r>
            <w:proofErr w:type="spellEnd"/>
            <w:r w:rsidRPr="00EA590A">
              <w:rPr>
                <w:rFonts w:ascii="Times New Roman" w:hAnsi="Times New Roman" w:cs="Times New Roman"/>
                <w:shd w:val="clear" w:color="auto" w:fill="FFFFFF"/>
              </w:rPr>
              <w:t>« za izboljšane preiskave spolnih zlorab otrok in mednarodno sodelovanje.</w:t>
            </w:r>
          </w:p>
          <w:p w14:paraId="681BCABD" w14:textId="77777777" w:rsidR="00254B7E" w:rsidRPr="00EA590A" w:rsidRDefault="00254B7E" w:rsidP="00254B7E">
            <w:pPr>
              <w:pStyle w:val="Brezrazmikov"/>
              <w:jc w:val="both"/>
              <w:rPr>
                <w:rFonts w:ascii="Times New Roman" w:eastAsia="TimesNewRoman" w:hAnsi="Times New Roman" w:cs="Times New Roman"/>
                <w:bCs/>
              </w:rPr>
            </w:pPr>
          </w:p>
          <w:p w14:paraId="0D3DA7AE" w14:textId="77777777" w:rsidR="00254B7E" w:rsidRPr="00EA590A" w:rsidRDefault="00254B7E" w:rsidP="00254B7E">
            <w:pPr>
              <w:pStyle w:val="Brezrazmikov"/>
              <w:jc w:val="both"/>
              <w:rPr>
                <w:rFonts w:ascii="Times New Roman" w:hAnsi="Times New Roman" w:cs="Times New Roman"/>
              </w:rPr>
            </w:pPr>
            <w:r w:rsidRPr="00EA590A">
              <w:rPr>
                <w:rFonts w:ascii="Times New Roman" w:hAnsi="Times New Roman" w:cs="Times New Roman"/>
              </w:rPr>
              <w:t>Za povečanje zmogljivosti na področju DNK (</w:t>
            </w:r>
            <w:proofErr w:type="spellStart"/>
            <w:r w:rsidRPr="00EA590A">
              <w:rPr>
                <w:rFonts w:ascii="Times New Roman" w:hAnsi="Times New Roman" w:cs="Times New Roman"/>
              </w:rPr>
              <w:t>Prümski</w:t>
            </w:r>
            <w:proofErr w:type="spellEnd"/>
            <w:r w:rsidRPr="00EA590A">
              <w:rPr>
                <w:rFonts w:ascii="Times New Roman" w:hAnsi="Times New Roman" w:cs="Times New Roman"/>
              </w:rPr>
              <w:t xml:space="preserve"> sklepi) je bil izveden nakup in servis opreme za določanje koncentracije DNK ter servis naprav za ultra čisto vodo in avtomatsko obdelavo vzorcev. Predstavniki NFL so se udeležili srečanja ISFG 2024, z nadurnim delom pa obdelali več spornih sledi, vzorcev in </w:t>
            </w:r>
            <w:proofErr w:type="spellStart"/>
            <w:r w:rsidRPr="00EA590A">
              <w:rPr>
                <w:rFonts w:ascii="Times New Roman" w:hAnsi="Times New Roman" w:cs="Times New Roman"/>
              </w:rPr>
              <w:t>prümskih</w:t>
            </w:r>
            <w:proofErr w:type="spellEnd"/>
            <w:r w:rsidRPr="00EA590A">
              <w:rPr>
                <w:rFonts w:ascii="Times New Roman" w:hAnsi="Times New Roman" w:cs="Times New Roman"/>
              </w:rPr>
              <w:t xml:space="preserve"> poizvedb, pri čemer je bil zaznan porast zadetkov oseb iz tujih evidenc.</w:t>
            </w:r>
          </w:p>
          <w:p w14:paraId="11566AB9" w14:textId="77777777" w:rsidR="00254B7E" w:rsidRPr="00EA590A" w:rsidRDefault="00254B7E" w:rsidP="00254B7E">
            <w:pPr>
              <w:pStyle w:val="Brezrazmikov"/>
              <w:jc w:val="both"/>
              <w:rPr>
                <w:rFonts w:ascii="Times New Roman" w:eastAsia="TimesNewRoman" w:hAnsi="Times New Roman" w:cs="Times New Roman"/>
                <w:bCs/>
              </w:rPr>
            </w:pPr>
          </w:p>
          <w:p w14:paraId="3B48EAA3" w14:textId="77777777" w:rsidR="00254B7E" w:rsidRPr="00EA590A" w:rsidRDefault="00254B7E" w:rsidP="00254B7E">
            <w:pPr>
              <w:pStyle w:val="Brezrazmikov"/>
              <w:jc w:val="both"/>
              <w:rPr>
                <w:rFonts w:ascii="Times New Roman" w:eastAsia="TimesNewRoman" w:hAnsi="Times New Roman" w:cs="Times New Roman"/>
              </w:rPr>
            </w:pPr>
            <w:r w:rsidRPr="00EA590A">
              <w:rPr>
                <w:rFonts w:ascii="Times New Roman" w:eastAsia="TimesNewRoman" w:hAnsi="Times New Roman" w:cs="Times New Roman"/>
              </w:rPr>
              <w:lastRenderedPageBreak/>
              <w:t>V ukrepu 1d je bila izvedena optimizacija HPLC-Q-TOF instrumenta (</w:t>
            </w:r>
            <w:r w:rsidRPr="00EA590A">
              <w:rPr>
                <w:rFonts w:ascii="Times New Roman" w:hAnsi="Times New Roman" w:cs="Times New Roman"/>
              </w:rPr>
              <w:t xml:space="preserve">kromatografija in spektrometrija) </w:t>
            </w:r>
            <w:r w:rsidRPr="00EA590A">
              <w:rPr>
                <w:rFonts w:ascii="Times New Roman" w:eastAsia="TimesNewRoman" w:hAnsi="Times New Roman" w:cs="Times New Roman"/>
              </w:rPr>
              <w:t>ter več usposabljanj za zaposlene, kriminaliste, tožilce in sodnike. Udeležba na mednarodnih dogodkih v Liverpoolu (kromatografija) in Berlinu (</w:t>
            </w:r>
            <w:proofErr w:type="spellStart"/>
            <w:r w:rsidRPr="00EA590A">
              <w:rPr>
                <w:rFonts w:ascii="Times New Roman" w:eastAsia="TimesNewRoman" w:hAnsi="Times New Roman" w:cs="Times New Roman"/>
              </w:rPr>
              <w:t>mass</w:t>
            </w:r>
            <w:proofErr w:type="spellEnd"/>
            <w:r w:rsidRPr="00EA590A">
              <w:rPr>
                <w:rFonts w:ascii="Times New Roman" w:eastAsia="TimesNewRoman" w:hAnsi="Times New Roman" w:cs="Times New Roman"/>
              </w:rPr>
              <w:t xml:space="preserve"> </w:t>
            </w:r>
            <w:proofErr w:type="spellStart"/>
            <w:r w:rsidRPr="00EA590A">
              <w:rPr>
                <w:rFonts w:ascii="Times New Roman" w:eastAsia="TimesNewRoman" w:hAnsi="Times New Roman" w:cs="Times New Roman"/>
              </w:rPr>
              <w:t>spectrometry</w:t>
            </w:r>
            <w:proofErr w:type="spellEnd"/>
            <w:r w:rsidRPr="00EA590A">
              <w:rPr>
                <w:rFonts w:ascii="Times New Roman" w:eastAsia="TimesNewRoman" w:hAnsi="Times New Roman" w:cs="Times New Roman"/>
              </w:rPr>
              <w:t>) podpira razvoj novih metod.</w:t>
            </w:r>
          </w:p>
          <w:p w14:paraId="775E483A" w14:textId="77777777" w:rsidR="00254B7E" w:rsidRPr="00EA590A" w:rsidRDefault="00254B7E" w:rsidP="00254B7E">
            <w:pPr>
              <w:pStyle w:val="Brezrazmikov"/>
              <w:rPr>
                <w:rFonts w:ascii="Times New Roman" w:eastAsia="TimesNewRoman" w:hAnsi="Times New Roman" w:cs="Times New Roman"/>
              </w:rPr>
            </w:pPr>
          </w:p>
          <w:p w14:paraId="7705D12D" w14:textId="4D0B9F29" w:rsidR="00254B7E" w:rsidRPr="00EA590A" w:rsidRDefault="00254B7E" w:rsidP="00254B7E">
            <w:pPr>
              <w:pStyle w:val="Brezrazmikov"/>
              <w:jc w:val="both"/>
              <w:rPr>
                <w:rFonts w:ascii="Times New Roman" w:eastAsia="TimesNewRoman" w:hAnsi="Times New Roman" w:cs="Times New Roman"/>
              </w:rPr>
            </w:pPr>
            <w:r w:rsidRPr="00EA590A">
              <w:rPr>
                <w:rFonts w:ascii="Times New Roman" w:eastAsia="TimesNewRoman" w:hAnsi="Times New Roman" w:cs="Times New Roman"/>
              </w:rPr>
              <w:t>Za varno</w:t>
            </w:r>
            <w:r w:rsidR="00E772E7" w:rsidRPr="00EA590A">
              <w:rPr>
                <w:rFonts w:ascii="Times New Roman" w:eastAsia="TimesNewRoman" w:hAnsi="Times New Roman" w:cs="Times New Roman"/>
              </w:rPr>
              <w:t xml:space="preserve">, zanesljivo, hitro </w:t>
            </w:r>
            <w:proofErr w:type="spellStart"/>
            <w:r w:rsidR="00E772E7" w:rsidRPr="00EA590A">
              <w:rPr>
                <w:rFonts w:ascii="Times New Roman" w:eastAsia="TimesNewRoman" w:hAnsi="Times New Roman" w:cs="Times New Roman"/>
              </w:rPr>
              <w:t>izmejavo</w:t>
            </w:r>
            <w:proofErr w:type="spellEnd"/>
            <w:r w:rsidR="00E772E7" w:rsidRPr="00EA590A">
              <w:rPr>
                <w:rFonts w:ascii="Times New Roman" w:eastAsia="TimesNewRoman" w:hAnsi="Times New Roman" w:cs="Times New Roman"/>
              </w:rPr>
              <w:t xml:space="preserve"> informacij je bilo nadgrajeno</w:t>
            </w:r>
            <w:r w:rsidRPr="00EA590A">
              <w:rPr>
                <w:rFonts w:ascii="Times New Roman" w:eastAsia="TimesNewRoman" w:hAnsi="Times New Roman" w:cs="Times New Roman"/>
              </w:rPr>
              <w:t xml:space="preserve"> govorno omrežje Policije </w:t>
            </w:r>
            <w:r w:rsidR="00E772E7" w:rsidRPr="00EA590A">
              <w:rPr>
                <w:rFonts w:ascii="Times New Roman" w:eastAsia="TimesNewRoman" w:hAnsi="Times New Roman" w:cs="Times New Roman"/>
              </w:rPr>
              <w:t xml:space="preserve">(posodobitev programske opreme), ki je ključna tudi za </w:t>
            </w:r>
            <w:proofErr w:type="spellStart"/>
            <w:r w:rsidR="00E772E7" w:rsidRPr="00EA590A">
              <w:rPr>
                <w:rFonts w:ascii="Times New Roman" w:eastAsia="TimesNewRoman" w:hAnsi="Times New Roman" w:cs="Times New Roman"/>
              </w:rPr>
              <w:t>inteoperabilnost</w:t>
            </w:r>
            <w:proofErr w:type="spellEnd"/>
            <w:r w:rsidR="00E772E7" w:rsidRPr="00EA590A">
              <w:rPr>
                <w:rFonts w:ascii="Times New Roman" w:eastAsia="TimesNewRoman" w:hAnsi="Times New Roman" w:cs="Times New Roman"/>
              </w:rPr>
              <w:t xml:space="preserve"> sistemov. </w:t>
            </w:r>
            <w:r w:rsidRPr="00EA590A">
              <w:rPr>
                <w:rFonts w:ascii="Times New Roman" w:eastAsia="TimesNewRoman" w:hAnsi="Times New Roman" w:cs="Times New Roman"/>
              </w:rPr>
              <w:t>Vzpostavljen je tudi sistem upravljanja mobilnih naprav (</w:t>
            </w:r>
            <w:proofErr w:type="spellStart"/>
            <w:r w:rsidRPr="00EA590A">
              <w:rPr>
                <w:rFonts w:ascii="Times New Roman" w:eastAsia="TimesNewRoman" w:hAnsi="Times New Roman" w:cs="Times New Roman"/>
              </w:rPr>
              <w:t>MobileIron</w:t>
            </w:r>
            <w:proofErr w:type="spellEnd"/>
            <w:r w:rsidRPr="00EA590A">
              <w:rPr>
                <w:rFonts w:ascii="Times New Roman" w:eastAsia="TimesNewRoman" w:hAnsi="Times New Roman" w:cs="Times New Roman"/>
              </w:rPr>
              <w:t xml:space="preserve"> MDM), ki omogoča varen dostop do nacionalnih in EU sistemov ter varno komunikacijo. Aktivnosti operativne IT podpore v tem obdobju niso bile izvedene in bodo poročane kasneje.</w:t>
            </w:r>
          </w:p>
          <w:p w14:paraId="3536B225" w14:textId="69AB769E" w:rsidR="00254B7E" w:rsidRPr="00EA590A" w:rsidRDefault="00254B7E" w:rsidP="00254B7E">
            <w:pPr>
              <w:rPr>
                <w:bCs/>
                <w:sz w:val="22"/>
                <w:shd w:val="clear" w:color="auto" w:fill="FFFFFF"/>
              </w:rPr>
            </w:pPr>
            <w:r w:rsidRPr="00EA590A">
              <w:rPr>
                <w:bCs/>
                <w:sz w:val="22"/>
                <w:shd w:val="clear" w:color="auto" w:fill="FFFFFF"/>
              </w:rPr>
              <w:t xml:space="preserve">Načrtovane aktivnosti </w:t>
            </w:r>
            <w:r w:rsidRPr="00EA590A">
              <w:rPr>
                <w:b/>
                <w:sz w:val="22"/>
                <w:shd w:val="clear" w:color="auto" w:fill="FFFFFF"/>
              </w:rPr>
              <w:t>operativne podpore (za</w:t>
            </w:r>
            <w:r w:rsidRPr="00EA590A">
              <w:rPr>
                <w:bCs/>
                <w:sz w:val="22"/>
                <w:shd w:val="clear" w:color="auto" w:fill="FFFFFF"/>
              </w:rPr>
              <w:t>gotavljanje delovanja omrežnih IT) se v obdobju poročanja niso izvajale, a bo</w:t>
            </w:r>
            <w:r w:rsidR="001B37E9" w:rsidRPr="00EA590A">
              <w:rPr>
                <w:bCs/>
                <w:sz w:val="22"/>
                <w:shd w:val="clear" w:color="auto" w:fill="FFFFFF"/>
              </w:rPr>
              <w:t>d</w:t>
            </w:r>
            <w:r w:rsidRPr="00EA590A">
              <w:rPr>
                <w:bCs/>
                <w:sz w:val="22"/>
                <w:shd w:val="clear" w:color="auto" w:fill="FFFFFF"/>
              </w:rPr>
              <w:t>o poročane v naslednjem obdobju.</w:t>
            </w:r>
          </w:p>
          <w:p w14:paraId="0E5D0698" w14:textId="77777777" w:rsidR="00254B7E" w:rsidRPr="00EA590A" w:rsidRDefault="00254B7E" w:rsidP="00254B7E">
            <w:pPr>
              <w:rPr>
                <w:b/>
                <w:sz w:val="22"/>
                <w:shd w:val="clear" w:color="auto" w:fill="FFFFFF"/>
              </w:rPr>
            </w:pPr>
          </w:p>
          <w:p w14:paraId="21D29DD5" w14:textId="77777777" w:rsidR="00254B7E" w:rsidRPr="00EA590A" w:rsidRDefault="00254B7E" w:rsidP="00254B7E">
            <w:pPr>
              <w:rPr>
                <w:sz w:val="22"/>
                <w:shd w:val="clear" w:color="auto" w:fill="FFFFFF"/>
              </w:rPr>
            </w:pPr>
            <w:r w:rsidRPr="00EA590A">
              <w:rPr>
                <w:b/>
                <w:sz w:val="22"/>
                <w:shd w:val="clear" w:color="auto" w:fill="FFFFFF"/>
              </w:rPr>
              <w:t xml:space="preserve">V okviru </w:t>
            </w:r>
            <w:r w:rsidRPr="00EA590A">
              <w:rPr>
                <w:b/>
                <w:sz w:val="22"/>
                <w:u w:val="single"/>
                <w:shd w:val="clear" w:color="auto" w:fill="FFFFFF"/>
              </w:rPr>
              <w:t>Specifičnega cilja 2</w:t>
            </w:r>
            <w:r w:rsidRPr="00EA590A">
              <w:rPr>
                <w:sz w:val="22"/>
                <w:shd w:val="clear" w:color="auto" w:fill="FFFFFF"/>
              </w:rPr>
              <w:t xml:space="preserve"> operacije težijo k zagotavljanju čezmejnega sodelovanja. </w:t>
            </w:r>
            <w:r w:rsidRPr="00EA590A">
              <w:rPr>
                <w:sz w:val="22"/>
              </w:rPr>
              <w:t xml:space="preserve">V </w:t>
            </w:r>
            <w:r w:rsidRPr="00EA590A">
              <w:rPr>
                <w:b/>
                <w:sz w:val="22"/>
              </w:rPr>
              <w:t>ukrepu 2a</w:t>
            </w:r>
            <w:r w:rsidRPr="00EA590A">
              <w:rPr>
                <w:sz w:val="22"/>
              </w:rPr>
              <w:t xml:space="preserve"> so bili f</w:t>
            </w:r>
            <w:r w:rsidRPr="00EA590A">
              <w:rPr>
                <w:sz w:val="22"/>
                <w:shd w:val="clear" w:color="auto" w:fill="FFFFFF"/>
              </w:rPr>
              <w:t xml:space="preserve">inancirani navidezni odkupi, stroški tajnega delovanja ter najem tajnih lokacij, kar je omogočilo izvajanje prikritih preiskovalnih ukrepov, ter nakup štirih vozil za tajno opazovanje. </w:t>
            </w:r>
          </w:p>
          <w:p w14:paraId="27FDB917" w14:textId="77777777" w:rsidR="00254B7E" w:rsidRPr="00EA590A" w:rsidRDefault="00254B7E" w:rsidP="00254B7E">
            <w:pPr>
              <w:rPr>
                <w:sz w:val="22"/>
              </w:rPr>
            </w:pPr>
            <w:bookmarkStart w:id="1" w:name="_Hlk214876406"/>
            <w:r w:rsidRPr="00EA590A">
              <w:rPr>
                <w:sz w:val="22"/>
                <w:shd w:val="clear" w:color="auto" w:fill="FFFFFF"/>
              </w:rPr>
              <w:t xml:space="preserve">Z namenom krepitve operativnega sodelovanja z državami Zahodnega Balkana (Severna Makedonija, Bosna in Hercegovina, Črna gora in Srbija) je bila financirana udeležba na operativnih in koordinacijskih srečanjih s tujimi varnostnimi organi. </w:t>
            </w:r>
          </w:p>
          <w:bookmarkEnd w:id="1"/>
          <w:p w14:paraId="4BB2707C" w14:textId="77777777" w:rsidR="00254B7E" w:rsidRPr="00EA590A" w:rsidRDefault="00254B7E" w:rsidP="00254B7E">
            <w:pPr>
              <w:spacing w:before="100"/>
              <w:rPr>
                <w:sz w:val="22"/>
              </w:rPr>
            </w:pPr>
            <w:r w:rsidRPr="00EA590A">
              <w:rPr>
                <w:sz w:val="22"/>
              </w:rPr>
              <w:t xml:space="preserve">V okviru </w:t>
            </w:r>
            <w:r w:rsidRPr="00EA590A">
              <w:rPr>
                <w:b/>
                <w:sz w:val="22"/>
              </w:rPr>
              <w:t>ukrepa 2b</w:t>
            </w:r>
            <w:r w:rsidRPr="00EA590A">
              <w:rPr>
                <w:sz w:val="22"/>
              </w:rPr>
              <w:t xml:space="preserve"> je bilo okrepljeno </w:t>
            </w:r>
            <w:r w:rsidRPr="00EA590A">
              <w:rPr>
                <w:rFonts w:eastAsia="TimesNewRoman"/>
                <w:bCs/>
                <w:sz w:val="22"/>
              </w:rPr>
              <w:t xml:space="preserve">sodelovanje med pristojnimi organi prek sodelovanja v delovnih skupinah in odborih evropske mreže forenzičnih znanstvenih inštitutov (ENFSI) ter z Evropsko akademijo forenzičnih znanosti, vključno z udeležbo </w:t>
            </w:r>
            <w:r w:rsidRPr="00EA590A">
              <w:rPr>
                <w:sz w:val="22"/>
              </w:rPr>
              <w:t>na sedmih strokovnih srečanjih, dveh sestankih upravnega odbora in letni skupščini ENFSI.</w:t>
            </w:r>
          </w:p>
          <w:p w14:paraId="179229AE" w14:textId="77777777" w:rsidR="00254B7E" w:rsidRPr="00EA590A" w:rsidRDefault="00254B7E" w:rsidP="00254B7E">
            <w:pPr>
              <w:spacing w:before="100"/>
              <w:rPr>
                <w:sz w:val="22"/>
                <w:shd w:val="clear" w:color="auto" w:fill="FFFFFF"/>
              </w:rPr>
            </w:pPr>
            <w:r w:rsidRPr="00EA590A">
              <w:rPr>
                <w:b/>
                <w:sz w:val="22"/>
              </w:rPr>
              <w:t>Ukrep 2c</w:t>
            </w:r>
            <w:r w:rsidRPr="00EA590A">
              <w:rPr>
                <w:sz w:val="22"/>
              </w:rPr>
              <w:t xml:space="preserve"> je bil usmerjen na medagencijsko sodelovanje ter </w:t>
            </w:r>
            <w:bookmarkStart w:id="2" w:name="_Hlk214877761"/>
            <w:r w:rsidRPr="00EA590A">
              <w:rPr>
                <w:sz w:val="22"/>
                <w:shd w:val="clear" w:color="auto" w:fill="FFFFFF"/>
              </w:rPr>
              <w:t xml:space="preserve">krepitev kapacitet z nakupom IT in druge opreme (izboljšanje pogojev dela). </w:t>
            </w:r>
            <w:bookmarkEnd w:id="2"/>
            <w:r w:rsidRPr="00EA590A">
              <w:rPr>
                <w:sz w:val="22"/>
              </w:rPr>
              <w:t>Na področju terorističnih CBRN groženj je bil izveden nakup specialnega interventnega vozila in nadgradnja robotske naprave za varno detekcijo, financirano pa je bilo tudi ustrezno strokovno usposabljanje.</w:t>
            </w:r>
          </w:p>
          <w:p w14:paraId="5D55A983" w14:textId="77777777" w:rsidR="00254B7E" w:rsidRPr="00EA590A" w:rsidRDefault="00254B7E" w:rsidP="00254B7E">
            <w:pPr>
              <w:pStyle w:val="Brezrazmikov"/>
              <w:jc w:val="both"/>
              <w:rPr>
                <w:rFonts w:ascii="Times New Roman" w:hAnsi="Times New Roman" w:cs="Times New Roman"/>
              </w:rPr>
            </w:pPr>
            <w:r w:rsidRPr="00EA590A">
              <w:rPr>
                <w:rFonts w:ascii="Times New Roman" w:hAnsi="Times New Roman" w:cs="Times New Roman"/>
              </w:rPr>
              <w:t xml:space="preserve">Projekt posebnega ukrepa EMPACT ISF/2022/SA/2.2.1/012 se je v tem obdobju poročanja zaključil. </w:t>
            </w:r>
          </w:p>
          <w:p w14:paraId="3A54F45C" w14:textId="77777777" w:rsidR="00254B7E" w:rsidRPr="00EA590A" w:rsidRDefault="00254B7E" w:rsidP="00254B7E">
            <w:pPr>
              <w:spacing w:before="100"/>
              <w:rPr>
                <w:sz w:val="22"/>
              </w:rPr>
            </w:pPr>
            <w:r w:rsidRPr="00EA590A">
              <w:rPr>
                <w:sz w:val="22"/>
                <w:shd w:val="clear" w:color="auto" w:fill="FFFFFF"/>
              </w:rPr>
              <w:t xml:space="preserve">V okviru </w:t>
            </w:r>
            <w:r w:rsidRPr="00EA590A">
              <w:rPr>
                <w:b/>
                <w:sz w:val="22"/>
                <w:u w:val="single"/>
                <w:shd w:val="clear" w:color="auto" w:fill="FFFFFF"/>
              </w:rPr>
              <w:t>Specifičnega cilja 3</w:t>
            </w:r>
            <w:r w:rsidRPr="00EA590A">
              <w:rPr>
                <w:sz w:val="22"/>
                <w:shd w:val="clear" w:color="auto" w:fill="FFFFFF"/>
              </w:rPr>
              <w:t xml:space="preserve"> se izvaja operacije za </w:t>
            </w:r>
            <w:r w:rsidRPr="00EA590A">
              <w:rPr>
                <w:rFonts w:eastAsia="TimesNewRoman"/>
                <w:sz w:val="22"/>
              </w:rPr>
              <w:t xml:space="preserve">krepitev zmogljivosti za boj proti kriminalu. </w:t>
            </w:r>
            <w:r w:rsidRPr="00EA590A">
              <w:rPr>
                <w:sz w:val="22"/>
              </w:rPr>
              <w:t xml:space="preserve">V okviru </w:t>
            </w:r>
            <w:r w:rsidRPr="00EA590A">
              <w:rPr>
                <w:b/>
                <w:sz w:val="22"/>
              </w:rPr>
              <w:t>ukrepa 3a</w:t>
            </w:r>
            <w:r w:rsidRPr="00EA590A">
              <w:rPr>
                <w:sz w:val="22"/>
              </w:rPr>
              <w:t xml:space="preserve"> je bila pripravljena investicijska dokumentacija </w:t>
            </w:r>
            <w:r w:rsidRPr="00EA590A">
              <w:rPr>
                <w:bCs/>
                <w:sz w:val="22"/>
              </w:rPr>
              <w:t xml:space="preserve">izboljšanje opremljenosti obstoječih vadbenih kapacitet za posebne policijske veščine in protiteroristično vadbo ter oprema za </w:t>
            </w:r>
            <w:r w:rsidRPr="00EA590A">
              <w:rPr>
                <w:sz w:val="22"/>
                <w:shd w:val="clear" w:color="auto" w:fill="FFFFFF"/>
              </w:rPr>
              <w:t xml:space="preserve">učne kapacitete </w:t>
            </w:r>
            <w:r w:rsidRPr="00EA590A">
              <w:rPr>
                <w:bCs/>
                <w:sz w:val="22"/>
              </w:rPr>
              <w:t xml:space="preserve">Policijske akademije.  Financiran je bil dostop do strokovnih vsebin ter usposabljanja s področja gospodarske kriminalitete, finančnih preiskav, pranja denarja, korupcije in </w:t>
            </w:r>
            <w:proofErr w:type="spellStart"/>
            <w:r w:rsidRPr="00EA590A">
              <w:rPr>
                <w:bCs/>
                <w:sz w:val="22"/>
              </w:rPr>
              <w:t>okoljske</w:t>
            </w:r>
            <w:proofErr w:type="spellEnd"/>
            <w:r w:rsidRPr="00EA590A">
              <w:rPr>
                <w:bCs/>
                <w:sz w:val="22"/>
              </w:rPr>
              <w:t xml:space="preserve"> kriminalitete.</w:t>
            </w:r>
          </w:p>
          <w:p w14:paraId="682F4B3B" w14:textId="71F27D36" w:rsidR="00254B7E" w:rsidRPr="00EA590A" w:rsidRDefault="00254B7E" w:rsidP="00254B7E">
            <w:pPr>
              <w:rPr>
                <w:sz w:val="22"/>
                <w:shd w:val="clear" w:color="auto" w:fill="FFFFFF"/>
              </w:rPr>
            </w:pPr>
            <w:r w:rsidRPr="00EA590A">
              <w:rPr>
                <w:sz w:val="22"/>
                <w:shd w:val="clear" w:color="auto" w:fill="FFFFFF"/>
              </w:rPr>
              <w:t>Okrepil</w:t>
            </w:r>
            <w:r w:rsidR="00765415" w:rsidRPr="00EA590A">
              <w:rPr>
                <w:sz w:val="22"/>
                <w:shd w:val="clear" w:color="auto" w:fill="FFFFFF"/>
              </w:rPr>
              <w:t xml:space="preserve">a se je oprema za preiskovanje </w:t>
            </w:r>
            <w:proofErr w:type="spellStart"/>
            <w:r w:rsidR="00765415" w:rsidRPr="00EA590A">
              <w:rPr>
                <w:sz w:val="22"/>
                <w:shd w:val="clear" w:color="auto" w:fill="FFFFFF"/>
              </w:rPr>
              <w:t>kibernetkega</w:t>
            </w:r>
            <w:proofErr w:type="spellEnd"/>
            <w:r w:rsidR="00765415" w:rsidRPr="00EA590A">
              <w:rPr>
                <w:sz w:val="22"/>
                <w:shd w:val="clear" w:color="auto" w:fill="FFFFFF"/>
              </w:rPr>
              <w:t xml:space="preserve"> kriminala</w:t>
            </w:r>
            <w:r w:rsidRPr="00EA590A">
              <w:rPr>
                <w:sz w:val="22"/>
                <w:shd w:val="clear" w:color="auto" w:fill="FFFFFF"/>
              </w:rPr>
              <w:t xml:space="preserve"> (diski, forenzična programske opreme, strežniška programska oprema). Nadaljevali so se postopki za posodobitev Policijske akademije</w:t>
            </w:r>
            <w:r w:rsidR="001B37E9" w:rsidRPr="00EA590A">
              <w:rPr>
                <w:sz w:val="22"/>
                <w:shd w:val="clear" w:color="auto" w:fill="FFFFFF"/>
              </w:rPr>
              <w:t>.</w:t>
            </w:r>
          </w:p>
          <w:p w14:paraId="79660027" w14:textId="77777777" w:rsidR="00254B7E" w:rsidRPr="00EA590A" w:rsidRDefault="00254B7E" w:rsidP="00254B7E">
            <w:pPr>
              <w:rPr>
                <w:sz w:val="22"/>
              </w:rPr>
            </w:pPr>
            <w:r w:rsidRPr="00EA590A">
              <w:rPr>
                <w:sz w:val="22"/>
              </w:rPr>
              <w:t>V okviru ukrepov usmerjenih v oblikovanje sinergij (</w:t>
            </w:r>
            <w:r w:rsidRPr="00EA590A">
              <w:rPr>
                <w:b/>
                <w:sz w:val="22"/>
              </w:rPr>
              <w:t>ukrep 3b</w:t>
            </w:r>
            <w:r w:rsidRPr="00EA590A">
              <w:rPr>
                <w:sz w:val="22"/>
              </w:rPr>
              <w:t xml:space="preserve">) so bila izvedena usposabljanja o preprečevanju radikalizacije ter nadaljevan kriminalistični tečaj za nove kadre in dodatna usposabljanja (prepovedane droge, tihotapstvo, varna vožnja, ciljno iskanje). Financirana je bila tudi udeležba na mednarodnih usposabljanjih (Haag, München, Lizbona, Nürnberg, </w:t>
            </w:r>
            <w:proofErr w:type="spellStart"/>
            <w:r w:rsidRPr="00EA590A">
              <w:rPr>
                <w:sz w:val="22"/>
              </w:rPr>
              <w:t>Quantico</w:t>
            </w:r>
            <w:proofErr w:type="spellEnd"/>
            <w:r w:rsidRPr="00EA590A">
              <w:rPr>
                <w:sz w:val="22"/>
              </w:rPr>
              <w:t>, Dunaj).</w:t>
            </w:r>
          </w:p>
          <w:p w14:paraId="5920E3AF" w14:textId="77777777" w:rsidR="00254B7E" w:rsidRPr="00EA590A" w:rsidRDefault="00254B7E" w:rsidP="00254B7E">
            <w:pPr>
              <w:autoSpaceDE w:val="0"/>
              <w:autoSpaceDN w:val="0"/>
              <w:adjustRightInd w:val="0"/>
              <w:spacing w:after="0"/>
              <w:rPr>
                <w:sz w:val="22"/>
              </w:rPr>
            </w:pPr>
            <w:r w:rsidRPr="00EA590A">
              <w:rPr>
                <w:sz w:val="22"/>
              </w:rPr>
              <w:t>Na področju zgodnjega prepoznavanja, zaščite in podpore prič, žvižgačev in žrtev kaznivih dejanj (</w:t>
            </w:r>
            <w:r w:rsidRPr="00EA590A">
              <w:rPr>
                <w:b/>
                <w:sz w:val="22"/>
              </w:rPr>
              <w:t>ukrep 3c</w:t>
            </w:r>
            <w:r w:rsidRPr="00EA590A">
              <w:rPr>
                <w:sz w:val="22"/>
              </w:rPr>
              <w:t>) so se policisti udeležili usposabljanj v Šibeniku, Sofiji, Budimpešti in Haagu. V programe pomoči žrtvam trgovine z ljudmi je bilo vključenih 9 oseb (pomoč pri iskanju zaposlitve učenje slovenskega jezika), izvajali so se tudi redni psihosocialni in razbremenilni pogovori ter terapevtske delavnice.</w:t>
            </w:r>
          </w:p>
          <w:p w14:paraId="5DCB92CE" w14:textId="77777777" w:rsidR="00254B7E" w:rsidRPr="00EA590A" w:rsidRDefault="00254B7E" w:rsidP="00254B7E">
            <w:pPr>
              <w:pStyle w:val="Brezrazmikov"/>
              <w:rPr>
                <w:rFonts w:ascii="Times New Roman" w:hAnsi="Times New Roman" w:cs="Times New Roman"/>
                <w:u w:val="single"/>
              </w:rPr>
            </w:pPr>
          </w:p>
          <w:p w14:paraId="65CBC7B1" w14:textId="77777777" w:rsidR="00254B7E" w:rsidRPr="00EA590A" w:rsidRDefault="00254B7E" w:rsidP="00254B7E">
            <w:pPr>
              <w:pStyle w:val="Brezrazmikov"/>
              <w:jc w:val="both"/>
              <w:rPr>
                <w:rFonts w:ascii="Times New Roman" w:hAnsi="Times New Roman" w:cs="Times New Roman"/>
              </w:rPr>
            </w:pPr>
            <w:r w:rsidRPr="00EA590A">
              <w:rPr>
                <w:rFonts w:ascii="Times New Roman" w:hAnsi="Times New Roman" w:cs="Times New Roman"/>
              </w:rPr>
              <w:t xml:space="preserve">V </w:t>
            </w:r>
            <w:r w:rsidRPr="00EA590A">
              <w:rPr>
                <w:rFonts w:ascii="Times New Roman" w:hAnsi="Times New Roman" w:cs="Times New Roman"/>
                <w:b/>
                <w:bCs/>
              </w:rPr>
              <w:t>ukrepu 3d</w:t>
            </w:r>
            <w:r w:rsidRPr="00EA590A">
              <w:rPr>
                <w:rFonts w:ascii="Times New Roman" w:hAnsi="Times New Roman" w:cs="Times New Roman"/>
              </w:rPr>
              <w:t xml:space="preserve"> (odziv na grožnje) je bila nadgrajena platforma STALITA, kupljene licence za informacijsko varnost, strežnik za AI analitiko ter vzpostavljena Faradayeva kletka. Nadgrajen je bil tudi GIS sistem (upravljanje dostopov, posodobitve podatkov, mobilna aplikacija), zagotovljeno vzdrževanje podatkovnega skladišča ter izvedeno usposabljanje za </w:t>
            </w:r>
            <w:proofErr w:type="spellStart"/>
            <w:r w:rsidRPr="00EA590A">
              <w:rPr>
                <w:rFonts w:ascii="Times New Roman" w:hAnsi="Times New Roman" w:cs="Times New Roman"/>
              </w:rPr>
              <w:t>Power</w:t>
            </w:r>
            <w:proofErr w:type="spellEnd"/>
            <w:r w:rsidRPr="00EA590A">
              <w:rPr>
                <w:rFonts w:ascii="Times New Roman" w:hAnsi="Times New Roman" w:cs="Times New Roman"/>
              </w:rPr>
              <w:t xml:space="preserve"> BI.</w:t>
            </w:r>
          </w:p>
          <w:p w14:paraId="55B8CFDB" w14:textId="77777777" w:rsidR="00254B7E" w:rsidRPr="00EA590A" w:rsidRDefault="00254B7E" w:rsidP="00254B7E">
            <w:pPr>
              <w:pStyle w:val="Brezrazmikov"/>
              <w:jc w:val="both"/>
              <w:rPr>
                <w:rFonts w:ascii="Times New Roman" w:hAnsi="Times New Roman" w:cs="Times New Roman"/>
              </w:rPr>
            </w:pPr>
          </w:p>
          <w:p w14:paraId="2E0AD662" w14:textId="77777777" w:rsidR="00254B7E" w:rsidRPr="00EA590A" w:rsidRDefault="00254B7E" w:rsidP="00254B7E">
            <w:pPr>
              <w:pStyle w:val="Brezrazmikov"/>
              <w:jc w:val="both"/>
              <w:rPr>
                <w:rFonts w:ascii="Times New Roman" w:hAnsi="Times New Roman" w:cs="Times New Roman"/>
              </w:rPr>
            </w:pPr>
            <w:r w:rsidRPr="00EA590A">
              <w:rPr>
                <w:rFonts w:ascii="Times New Roman" w:hAnsi="Times New Roman" w:cs="Times New Roman"/>
              </w:rPr>
              <w:t>Dodatno je bilo kupljenih 10 forenzičnih sušilnih komor ter potrjen začetek operacij za izboljšanje opremljenosti enot vodnikov službenih psov in mobilnosti enot za nadzor čezmejnega kriminala.</w:t>
            </w:r>
          </w:p>
          <w:p w14:paraId="573A36A8" w14:textId="77777777" w:rsidR="00254B7E" w:rsidRPr="00EA590A" w:rsidRDefault="00254B7E" w:rsidP="00254B7E">
            <w:pPr>
              <w:pStyle w:val="Brezrazmikov"/>
              <w:rPr>
                <w:rFonts w:ascii="Times New Roman" w:hAnsi="Times New Roman" w:cs="Times New Roman"/>
              </w:rPr>
            </w:pPr>
          </w:p>
          <w:p w14:paraId="6F4FBE0B" w14:textId="77777777" w:rsidR="00254B7E" w:rsidRPr="00EA590A" w:rsidRDefault="00254B7E" w:rsidP="00254B7E">
            <w:pPr>
              <w:pStyle w:val="Brezrazmikov"/>
              <w:jc w:val="both"/>
              <w:rPr>
                <w:rFonts w:ascii="Times New Roman" w:hAnsi="Times New Roman" w:cs="Times New Roman"/>
              </w:rPr>
            </w:pPr>
            <w:r w:rsidRPr="00EA590A">
              <w:rPr>
                <w:rFonts w:ascii="Times New Roman" w:hAnsi="Times New Roman" w:cs="Times New Roman"/>
              </w:rPr>
              <w:t>Na področju kritične infrastrukture (</w:t>
            </w:r>
            <w:r w:rsidRPr="00EA590A">
              <w:rPr>
                <w:rFonts w:ascii="Times New Roman" w:hAnsi="Times New Roman" w:cs="Times New Roman"/>
                <w:b/>
                <w:bCs/>
              </w:rPr>
              <w:t>ukrep 3e</w:t>
            </w:r>
            <w:r w:rsidRPr="00EA590A">
              <w:rPr>
                <w:rFonts w:ascii="Times New Roman" w:hAnsi="Times New Roman" w:cs="Times New Roman"/>
              </w:rPr>
              <w:t>) je bila pripravljena osnovna zasnova programa usposabljanja za zaščito kritične infrastrukture. Realizacija je nižja od načrtovane, vendar kartografska podpora deležnikom kriznega upravljanja (na operativni ravni ter za potrebe obrambe, notranjih zadev in upravljavcev kritične infrastrukture) ter usposabljanja potekajo skladno z načrti. Zamiki se pojavljajo pri aktivnostih:</w:t>
            </w:r>
          </w:p>
          <w:p w14:paraId="613AA53A" w14:textId="77777777" w:rsidR="00254B7E" w:rsidRPr="00EA590A" w:rsidRDefault="00254B7E" w:rsidP="00254B7E">
            <w:pPr>
              <w:pStyle w:val="Brezrazmikov"/>
              <w:numPr>
                <w:ilvl w:val="0"/>
                <w:numId w:val="39"/>
              </w:numPr>
              <w:jc w:val="both"/>
              <w:rPr>
                <w:rFonts w:ascii="Times New Roman" w:hAnsi="Times New Roman" w:cs="Times New Roman"/>
              </w:rPr>
            </w:pPr>
            <w:r w:rsidRPr="00EA590A">
              <w:rPr>
                <w:rFonts w:ascii="Times New Roman" w:hAnsi="Times New Roman" w:cs="Times New Roman"/>
              </w:rPr>
              <w:t>Nadgradnja ISPO (informacijski sistem za podporo odločanju): začetek izvajanja se je zaradi dodatnih vsebinskih zahtev zamaknil za eno leto; zaključek ostaja predviden do konca 2026, realizacija pa bo nižja.</w:t>
            </w:r>
          </w:p>
          <w:p w14:paraId="21E19E61" w14:textId="77777777" w:rsidR="00254B7E" w:rsidRPr="00EA590A" w:rsidRDefault="00254B7E" w:rsidP="00254B7E">
            <w:pPr>
              <w:pStyle w:val="Brezrazmikov"/>
              <w:numPr>
                <w:ilvl w:val="0"/>
                <w:numId w:val="39"/>
              </w:numPr>
              <w:jc w:val="both"/>
              <w:rPr>
                <w:rFonts w:ascii="Times New Roman" w:hAnsi="Times New Roman" w:cs="Times New Roman"/>
              </w:rPr>
            </w:pPr>
            <w:r w:rsidRPr="00EA590A">
              <w:rPr>
                <w:rFonts w:ascii="Times New Roman" w:hAnsi="Times New Roman" w:cs="Times New Roman"/>
              </w:rPr>
              <w:t>Geografska podpora analitični zmogljivosti v NCKU (Nacionalni center za krizno upravljanje): projekt se je zamaknil za več kot leto dni, pogodba z izvajalcem v 2025 ni bila podpisana (nastajajo le stroški dela); rok izvedbe ostaja 2026, realizacija bo nižja.</w:t>
            </w:r>
          </w:p>
          <w:p w14:paraId="1C63813C" w14:textId="51B16A3A" w:rsidR="00FD3C01" w:rsidRPr="00EA590A" w:rsidRDefault="00254B7E" w:rsidP="00254B7E">
            <w:pPr>
              <w:pStyle w:val="Brezrazmikov"/>
              <w:numPr>
                <w:ilvl w:val="0"/>
                <w:numId w:val="39"/>
              </w:numPr>
              <w:jc w:val="both"/>
              <w:rPr>
                <w:rFonts w:ascii="Times New Roman" w:hAnsi="Times New Roman" w:cs="Times New Roman"/>
              </w:rPr>
            </w:pPr>
            <w:r w:rsidRPr="00EA590A">
              <w:rPr>
                <w:rFonts w:ascii="Times New Roman" w:hAnsi="Times New Roman" w:cs="Times New Roman"/>
              </w:rPr>
              <w:t>Nadgradnja analitičnih zmogljivosti NCKU z umetno inteligenco: projekt se še ni formalno začel (potekajo interna usklajevanja); rok izvedbe se zamika na 31.</w:t>
            </w:r>
            <w:r w:rsidR="001B37E9" w:rsidRPr="00EA590A">
              <w:rPr>
                <w:rFonts w:ascii="Times New Roman" w:hAnsi="Times New Roman" w:cs="Times New Roman"/>
              </w:rPr>
              <w:t> </w:t>
            </w:r>
            <w:r w:rsidRPr="00EA590A">
              <w:rPr>
                <w:rFonts w:ascii="Times New Roman" w:hAnsi="Times New Roman" w:cs="Times New Roman"/>
              </w:rPr>
              <w:t>12.</w:t>
            </w:r>
            <w:r w:rsidR="001B37E9" w:rsidRPr="00EA590A">
              <w:rPr>
                <w:rFonts w:ascii="Times New Roman" w:hAnsi="Times New Roman" w:cs="Times New Roman"/>
              </w:rPr>
              <w:t> </w:t>
            </w:r>
            <w:r w:rsidRPr="00EA590A">
              <w:rPr>
                <w:rFonts w:ascii="Times New Roman" w:hAnsi="Times New Roman" w:cs="Times New Roman"/>
              </w:rPr>
              <w:t>2028, predvidena realizacija pa je nižja od prvotne.</w:t>
            </w:r>
          </w:p>
        </w:tc>
      </w:tr>
    </w:tbl>
    <w:bookmarkEnd w:id="0"/>
    <w:p w14:paraId="2A9319FB" w14:textId="77777777" w:rsidR="006A41E2" w:rsidRPr="00EA590A" w:rsidRDefault="00C30ACF" w:rsidP="00C30ACF">
      <w:pPr>
        <w:pStyle w:val="ManualHeading2"/>
        <w:rPr>
          <w:noProof/>
          <w:sz w:val="22"/>
        </w:rPr>
      </w:pPr>
      <w:r w:rsidRPr="00EA590A">
        <w:rPr>
          <w:sz w:val="22"/>
        </w:rPr>
        <w:t>1.2.</w:t>
      </w:r>
      <w:r w:rsidRPr="00EA590A">
        <w:rPr>
          <w:sz w:val="22"/>
        </w:rPr>
        <w:tab/>
      </w:r>
      <w:r w:rsidR="006A41E2" w:rsidRPr="00EA590A">
        <w:rPr>
          <w:noProof/>
          <w:sz w:val="22"/>
        </w:rPr>
        <w:t>Vprašanja, ki vplivajo na smotrnost – člen 30(2), točka (b), Uredbe (EU) 2021/1149</w:t>
      </w:r>
    </w:p>
    <w:p w14:paraId="6858826E" w14:textId="77777777" w:rsidR="006A41E2" w:rsidRPr="00EA590A" w:rsidRDefault="006A41E2" w:rsidP="006A41E2">
      <w:pPr>
        <w:rPr>
          <w:noProof/>
          <w:sz w:val="22"/>
        </w:rPr>
      </w:pPr>
      <w:r w:rsidRPr="00EA590A">
        <w:rPr>
          <w:noProof/>
          <w:sz w:val="22"/>
        </w:rPr>
        <w:t xml:space="preserve">Za vsak specifični cilj opišite morebitna vprašanja, ki vplivajo na smotrnost programa med obračunskim letom, in morebitne ukrepe, sprejete za njihovo obravnavo. </w:t>
      </w:r>
    </w:p>
    <w:p w14:paraId="2690A468" w14:textId="77777777" w:rsidR="006A41E2" w:rsidRPr="00EA590A" w:rsidRDefault="006A41E2" w:rsidP="006A41E2">
      <w:pPr>
        <w:rPr>
          <w:noProof/>
          <w:sz w:val="22"/>
        </w:rPr>
      </w:pPr>
      <w:r w:rsidRPr="00EA590A">
        <w:rPr>
          <w:noProof/>
          <w:sz w:val="22"/>
        </w:rPr>
        <w:t>Kadar koli je to mogoče in ustrezno, razlikujte med vprašanji, povezanimi z:</w:t>
      </w:r>
    </w:p>
    <w:p w14:paraId="15FFF995" w14:textId="77777777" w:rsidR="006A41E2" w:rsidRPr="00EA590A" w:rsidRDefault="006A41E2" w:rsidP="00EC5A18">
      <w:pPr>
        <w:pStyle w:val="Tiret0"/>
        <w:numPr>
          <w:ilvl w:val="0"/>
          <w:numId w:val="10"/>
        </w:numPr>
        <w:rPr>
          <w:noProof/>
          <w:sz w:val="22"/>
        </w:rPr>
      </w:pPr>
      <w:r w:rsidRPr="00EA590A">
        <w:rPr>
          <w:noProof/>
          <w:sz w:val="22"/>
        </w:rPr>
        <w:t>nezadostnim poročanjem o dosežkih</w:t>
      </w:r>
      <w:r w:rsidRPr="00EA590A">
        <w:rPr>
          <w:rStyle w:val="Sprotnaopomba-sklic"/>
          <w:noProof/>
          <w:sz w:val="22"/>
        </w:rPr>
        <w:footnoteReference w:id="2"/>
      </w:r>
      <w:r w:rsidR="00E9035B" w:rsidRPr="00EA590A">
        <w:rPr>
          <w:noProof/>
          <w:sz w:val="22"/>
        </w:rPr>
        <w:t>,</w:t>
      </w:r>
      <w:r w:rsidRPr="00EA590A">
        <w:rPr>
          <w:noProof/>
          <w:sz w:val="22"/>
        </w:rPr>
        <w:t xml:space="preserve"> </w:t>
      </w:r>
    </w:p>
    <w:p w14:paraId="18168DC4" w14:textId="77777777" w:rsidR="006A41E2" w:rsidRPr="00EA590A" w:rsidRDefault="006A41E2" w:rsidP="00EC5A18">
      <w:pPr>
        <w:pStyle w:val="Tiret0"/>
        <w:numPr>
          <w:ilvl w:val="0"/>
          <w:numId w:val="10"/>
        </w:numPr>
        <w:rPr>
          <w:noProof/>
          <w:sz w:val="22"/>
        </w:rPr>
      </w:pPr>
      <w:r w:rsidRPr="00EA590A">
        <w:rPr>
          <w:noProof/>
          <w:sz w:val="22"/>
        </w:rPr>
        <w:t>določanjem ciljev</w:t>
      </w:r>
      <w:r w:rsidRPr="00EA590A">
        <w:rPr>
          <w:rStyle w:val="Sprotnaopomba-sklic"/>
          <w:noProof/>
          <w:sz w:val="22"/>
        </w:rPr>
        <w:footnoteReference w:id="3"/>
      </w:r>
      <w:r w:rsidR="00E9035B" w:rsidRPr="00EA590A">
        <w:rPr>
          <w:noProof/>
          <w:sz w:val="22"/>
        </w:rPr>
        <w:t>,</w:t>
      </w:r>
      <w:r w:rsidRPr="00EA590A">
        <w:rPr>
          <w:noProof/>
          <w:sz w:val="22"/>
        </w:rPr>
        <w:t xml:space="preserve"> </w:t>
      </w:r>
    </w:p>
    <w:p w14:paraId="34495A5E" w14:textId="77777777" w:rsidR="006A41E2" w:rsidRPr="00EA590A" w:rsidRDefault="006A41E2" w:rsidP="00EC5A18">
      <w:pPr>
        <w:pStyle w:val="Tiret0"/>
        <w:numPr>
          <w:ilvl w:val="0"/>
          <w:numId w:val="10"/>
        </w:numPr>
        <w:rPr>
          <w:noProof/>
          <w:sz w:val="22"/>
        </w:rPr>
      </w:pPr>
      <w:r w:rsidRPr="00EA590A">
        <w:rPr>
          <w:noProof/>
          <w:sz w:val="22"/>
        </w:rPr>
        <w:t>postopkovnimi zamudami in upravnimi zmogljivostmi</w:t>
      </w:r>
      <w:r w:rsidRPr="00EA590A">
        <w:rPr>
          <w:rStyle w:val="Sprotnaopomba-sklic"/>
          <w:noProof/>
          <w:sz w:val="22"/>
        </w:rPr>
        <w:footnoteReference w:id="4"/>
      </w:r>
      <w:r w:rsidR="00E9035B" w:rsidRPr="00EA590A">
        <w:rPr>
          <w:noProof/>
          <w:sz w:val="22"/>
        </w:rPr>
        <w:t>,</w:t>
      </w:r>
      <w:r w:rsidRPr="00EA590A">
        <w:rPr>
          <w:noProof/>
          <w:sz w:val="22"/>
        </w:rPr>
        <w:t xml:space="preserve"> </w:t>
      </w:r>
    </w:p>
    <w:p w14:paraId="7D1C8A88" w14:textId="77777777" w:rsidR="006A41E2" w:rsidRPr="00EA590A" w:rsidRDefault="006A41E2" w:rsidP="00EC5A18">
      <w:pPr>
        <w:pStyle w:val="Tiret0"/>
        <w:numPr>
          <w:ilvl w:val="0"/>
          <w:numId w:val="10"/>
        </w:numPr>
        <w:rPr>
          <w:noProof/>
          <w:sz w:val="22"/>
        </w:rPr>
      </w:pPr>
      <w:r w:rsidRPr="00EA590A">
        <w:rPr>
          <w:noProof/>
          <w:sz w:val="22"/>
        </w:rPr>
        <w:t>kontekstualnimi spremembami</w:t>
      </w:r>
      <w:r w:rsidRPr="00EA590A">
        <w:rPr>
          <w:rStyle w:val="Sprotnaopomba-sklic"/>
          <w:noProof/>
          <w:sz w:val="22"/>
        </w:rPr>
        <w:footnoteReference w:id="5"/>
      </w:r>
      <w:r w:rsidR="00E9035B" w:rsidRPr="00EA590A">
        <w:rPr>
          <w:noProof/>
          <w:sz w:val="22"/>
        </w:rPr>
        <w:t>,</w:t>
      </w:r>
    </w:p>
    <w:p w14:paraId="4AFB8110" w14:textId="77777777" w:rsidR="006A41E2" w:rsidRPr="00EA590A" w:rsidRDefault="006A41E2" w:rsidP="00EC5A18">
      <w:pPr>
        <w:pStyle w:val="Tiret0"/>
        <w:numPr>
          <w:ilvl w:val="0"/>
          <w:numId w:val="10"/>
        </w:numPr>
        <w:rPr>
          <w:noProof/>
          <w:sz w:val="22"/>
        </w:rPr>
      </w:pPr>
      <w:r w:rsidRPr="00EA590A">
        <w:rPr>
          <w:noProof/>
          <w:sz w:val="22"/>
        </w:rPr>
        <w:t>zasnovo in/ali izvajanjem operacij</w:t>
      </w:r>
      <w:r w:rsidRPr="00EA590A">
        <w:rPr>
          <w:rStyle w:val="Sprotnaopomba-sklic"/>
          <w:noProof/>
          <w:sz w:val="22"/>
        </w:rPr>
        <w:footnoteReference w:id="6"/>
      </w:r>
      <w:r w:rsidRPr="00EA590A">
        <w:rPr>
          <w:noProof/>
          <w:sz w:val="22"/>
        </w:rPr>
        <w:t xml:space="preserve"> ter</w:t>
      </w:r>
    </w:p>
    <w:p w14:paraId="2D930DD1" w14:textId="77777777" w:rsidR="006A41E2" w:rsidRPr="00EA590A" w:rsidRDefault="006A41E2" w:rsidP="00EC5A18">
      <w:pPr>
        <w:pStyle w:val="Tiret0"/>
        <w:numPr>
          <w:ilvl w:val="0"/>
          <w:numId w:val="10"/>
        </w:numPr>
        <w:rPr>
          <w:noProof/>
          <w:sz w:val="22"/>
        </w:rPr>
      </w:pPr>
      <w:r w:rsidRPr="00EA590A">
        <w:rPr>
          <w:noProof/>
          <w:sz w:val="22"/>
        </w:rPr>
        <w:t xml:space="preserve">katero koli drugo zadevo. </w:t>
      </w:r>
    </w:p>
    <w:p w14:paraId="7D85DDF1" w14:textId="77777777" w:rsidR="000E45B7" w:rsidRPr="00EA590A" w:rsidRDefault="000E45B7" w:rsidP="006D7F5F">
      <w:pPr>
        <w:rPr>
          <w:i/>
          <w:noProof/>
          <w:sz w:val="22"/>
        </w:rPr>
      </w:pPr>
      <w:r w:rsidRPr="00EA590A">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13A070A6" w14:textId="77777777" w:rsidR="006A41E2" w:rsidRPr="00EA590A" w:rsidRDefault="0060652B" w:rsidP="006A41E2">
      <w:pPr>
        <w:rPr>
          <w:noProof/>
          <w:sz w:val="22"/>
        </w:rPr>
      </w:pPr>
      <w:r w:rsidRPr="00EA590A">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063"/>
      </w:tblGrid>
      <w:tr w:rsidR="00EA590A" w:rsidRPr="00EA590A" w14:paraId="6E7B363F" w14:textId="77777777" w:rsidTr="00E45665">
        <w:tc>
          <w:tcPr>
            <w:tcW w:w="9289" w:type="dxa"/>
          </w:tcPr>
          <w:p w14:paraId="132715B8" w14:textId="35416F96" w:rsidR="000830EF" w:rsidRPr="00EA590A" w:rsidRDefault="000830EF" w:rsidP="000071B9">
            <w:pPr>
              <w:pStyle w:val="Personnequisigne"/>
              <w:jc w:val="both"/>
              <w:rPr>
                <w:i w:val="0"/>
                <w:sz w:val="22"/>
              </w:rPr>
            </w:pPr>
            <w:r w:rsidRPr="00EA590A">
              <w:rPr>
                <w:i w:val="0"/>
                <w:sz w:val="22"/>
              </w:rPr>
              <w:t xml:space="preserve">Zaradi poznejše potrditve programa SNV in posledično začetka izvajanja operacij pričakujemo, da bodo v nekaterih primerih zastavljeni cilji (2029) doseženi v nižjem obsegu oz. v drugih primerih v višjem obsegu. Razlog je, da so se nekatere aktivnosti izvedle z uporabo drugih virov financiranja ali </w:t>
            </w:r>
            <w:r w:rsidRPr="00EA590A">
              <w:rPr>
                <w:i w:val="0"/>
                <w:sz w:val="22"/>
              </w:rPr>
              <w:lastRenderedPageBreak/>
              <w:t>pa so se v tem času spremenile potrebe upravičenca. Novembra 2024 je bil potrjen spremenjen program SNV, kjer so razvidne prej omenjene vsebine</w:t>
            </w:r>
            <w:r w:rsidR="001B37E9" w:rsidRPr="00EA590A">
              <w:rPr>
                <w:i w:val="0"/>
                <w:sz w:val="22"/>
              </w:rPr>
              <w:t>,</w:t>
            </w:r>
            <w:r w:rsidRPr="00EA590A">
              <w:rPr>
                <w:i w:val="0"/>
                <w:sz w:val="22"/>
              </w:rPr>
              <w:t xml:space="preserve"> kot tudi spremembe</w:t>
            </w:r>
            <w:r w:rsidR="001B37E9" w:rsidRPr="00EA590A">
              <w:rPr>
                <w:i w:val="0"/>
                <w:sz w:val="22"/>
              </w:rPr>
              <w:t>,</w:t>
            </w:r>
            <w:r w:rsidRPr="00EA590A">
              <w:rPr>
                <w:i w:val="0"/>
                <w:sz w:val="22"/>
              </w:rPr>
              <w:t xml:space="preserve"> zaradi prenosa 5% iz programa IUMV. </w:t>
            </w:r>
            <w:r w:rsidR="003128E7" w:rsidRPr="00EA590A">
              <w:rPr>
                <w:i w:val="0"/>
                <w:sz w:val="22"/>
              </w:rPr>
              <w:t xml:space="preserve">V skladu s tem smo akcijski načrt SNV dvakrat posodobili. </w:t>
            </w:r>
            <w:r w:rsidRPr="00EA590A">
              <w:rPr>
                <w:i w:val="0"/>
                <w:sz w:val="22"/>
              </w:rPr>
              <w:t xml:space="preserve">Menimo, da je sedaj doseganje zastavljenih ciljev bolj realno zastavljeno. </w:t>
            </w:r>
            <w:r w:rsidR="003128E7" w:rsidRPr="00EA590A">
              <w:rPr>
                <w:i w:val="0"/>
                <w:sz w:val="22"/>
              </w:rPr>
              <w:t>V obdobju poročanja smo intenzivno delali na novi različici programa, ki bo vključevala nove vsebine, zaradi povečanih finančnih sredstev (vmesni pregled).</w:t>
            </w:r>
          </w:p>
          <w:p w14:paraId="5D78E405" w14:textId="77777777" w:rsidR="000830EF" w:rsidRPr="00EA590A" w:rsidRDefault="000830EF" w:rsidP="000071B9">
            <w:pPr>
              <w:pStyle w:val="Personnequisigne"/>
              <w:jc w:val="both"/>
              <w:rPr>
                <w:i w:val="0"/>
                <w:sz w:val="22"/>
              </w:rPr>
            </w:pPr>
          </w:p>
          <w:p w14:paraId="00DDB1C5" w14:textId="77777777" w:rsidR="00765415" w:rsidRPr="00EA590A" w:rsidRDefault="00765415" w:rsidP="00765415">
            <w:pPr>
              <w:pStyle w:val="Personnequisigne"/>
              <w:jc w:val="both"/>
              <w:rPr>
                <w:i w:val="0"/>
                <w:sz w:val="22"/>
              </w:rPr>
            </w:pPr>
            <w:r w:rsidRPr="00EA590A">
              <w:rPr>
                <w:i w:val="0"/>
                <w:sz w:val="22"/>
              </w:rPr>
              <w:t>Kazalniki se spremljajo v okviru vseh treh specifičnih ciljev. Skupno:</w:t>
            </w:r>
          </w:p>
          <w:p w14:paraId="28A2FE0B" w14:textId="77777777" w:rsidR="00785A92" w:rsidRPr="00EA590A" w:rsidRDefault="00785A92" w:rsidP="00570D7A">
            <w:pPr>
              <w:pStyle w:val="Personnequisigne"/>
              <w:numPr>
                <w:ilvl w:val="0"/>
                <w:numId w:val="43"/>
              </w:numPr>
              <w:ind w:left="360"/>
              <w:jc w:val="both"/>
              <w:rPr>
                <w:i w:val="0"/>
                <w:sz w:val="22"/>
              </w:rPr>
            </w:pPr>
            <w:r w:rsidRPr="00EA590A">
              <w:rPr>
                <w:i w:val="0"/>
                <w:sz w:val="22"/>
              </w:rPr>
              <w:t>Odstopanja od načrtovanih vrednosti so prisotna predvsem zaradi zamud pri zakonodaji, javnih naročilih in kasnejšega začetka operacij.</w:t>
            </w:r>
          </w:p>
          <w:p w14:paraId="3D4C289B" w14:textId="7DA74C94" w:rsidR="00785A92" w:rsidRPr="00EA590A" w:rsidRDefault="00785A92" w:rsidP="00570D7A">
            <w:pPr>
              <w:pStyle w:val="Personnequisigne"/>
              <w:numPr>
                <w:ilvl w:val="0"/>
                <w:numId w:val="43"/>
              </w:numPr>
              <w:ind w:left="360"/>
              <w:jc w:val="both"/>
              <w:rPr>
                <w:i w:val="0"/>
                <w:sz w:val="22"/>
              </w:rPr>
            </w:pPr>
            <w:r w:rsidRPr="00EA590A">
              <w:rPr>
                <w:i w:val="0"/>
                <w:sz w:val="22"/>
              </w:rPr>
              <w:t>Več kazalnikov (zlasti v Specifičnem cilju 2 in 3) je v pozitivnem trendu in se približuje ciljem, del pa jih je že dosežen ali presežen.</w:t>
            </w:r>
          </w:p>
          <w:p w14:paraId="01151689" w14:textId="679A0908" w:rsidR="00785A92" w:rsidRPr="00EA590A" w:rsidRDefault="00785A92" w:rsidP="00570D7A">
            <w:pPr>
              <w:pStyle w:val="Personnequisigne"/>
              <w:numPr>
                <w:ilvl w:val="0"/>
                <w:numId w:val="43"/>
              </w:numPr>
              <w:ind w:left="360"/>
              <w:jc w:val="both"/>
              <w:rPr>
                <w:i w:val="0"/>
                <w:sz w:val="22"/>
              </w:rPr>
            </w:pPr>
            <w:r w:rsidRPr="00EA590A">
              <w:rPr>
                <w:i w:val="0"/>
                <w:sz w:val="22"/>
              </w:rPr>
              <w:t>Pri nekaterih kazalnikih so ciljne vrednosti nerealno visoke ali metodološko neustrezno določene (npr. kazalniki, vezani na zasege izven čezmejnih operacij).</w:t>
            </w:r>
          </w:p>
          <w:p w14:paraId="3C2F5B1C" w14:textId="6F9BB11D" w:rsidR="00785A92" w:rsidRPr="00EA590A" w:rsidRDefault="00785A92" w:rsidP="00570D7A">
            <w:pPr>
              <w:pStyle w:val="Personnequisigne"/>
              <w:numPr>
                <w:ilvl w:val="0"/>
                <w:numId w:val="43"/>
              </w:numPr>
              <w:ind w:left="360"/>
              <w:jc w:val="both"/>
              <w:rPr>
                <w:i w:val="0"/>
                <w:sz w:val="22"/>
              </w:rPr>
            </w:pPr>
            <w:r w:rsidRPr="00EA590A">
              <w:rPr>
                <w:i w:val="0"/>
                <w:sz w:val="22"/>
              </w:rPr>
              <w:t>Organizacijske in varnostne spremembe (npr. Schengen, reorganizacija Policije) pomembno vplivajo na dinamiko izvajanja in potrebe po opremi ter aktivnostih.</w:t>
            </w:r>
          </w:p>
          <w:p w14:paraId="708042D1" w14:textId="77777777" w:rsidR="00785A92" w:rsidRPr="00EA590A" w:rsidRDefault="00785A92" w:rsidP="00570D7A">
            <w:pPr>
              <w:pStyle w:val="Personnequisigne"/>
              <w:numPr>
                <w:ilvl w:val="0"/>
                <w:numId w:val="43"/>
              </w:numPr>
              <w:ind w:left="360"/>
              <w:jc w:val="both"/>
              <w:rPr>
                <w:i w:val="0"/>
                <w:sz w:val="22"/>
              </w:rPr>
            </w:pPr>
            <w:r w:rsidRPr="00EA590A">
              <w:rPr>
                <w:i w:val="0"/>
                <w:sz w:val="22"/>
              </w:rPr>
              <w:t>Del kazalnikov se poroča šele ob zaključku operacij, zato trenutno še ni končnih podatkov za oceno doseganja ciljev.</w:t>
            </w:r>
          </w:p>
          <w:p w14:paraId="0E3F7AAA" w14:textId="77777777" w:rsidR="00570D7A" w:rsidRPr="00EA590A" w:rsidRDefault="00570D7A" w:rsidP="00785A92">
            <w:pPr>
              <w:pStyle w:val="Personnequisigne"/>
              <w:jc w:val="both"/>
              <w:rPr>
                <w:i w:val="0"/>
                <w:sz w:val="22"/>
              </w:rPr>
            </w:pPr>
          </w:p>
          <w:p w14:paraId="701619B6" w14:textId="77777777" w:rsidR="00785A92" w:rsidRPr="00EA590A" w:rsidRDefault="00785A92" w:rsidP="00785A92">
            <w:pPr>
              <w:pStyle w:val="Personnequisigne"/>
              <w:jc w:val="both"/>
              <w:rPr>
                <w:i w:val="0"/>
                <w:sz w:val="22"/>
              </w:rPr>
            </w:pPr>
          </w:p>
          <w:p w14:paraId="099936D0" w14:textId="55D88FEB" w:rsidR="00785A92" w:rsidRPr="00EA590A" w:rsidRDefault="00785A92" w:rsidP="00785A92">
            <w:pPr>
              <w:pStyle w:val="Personnequisigne"/>
              <w:jc w:val="both"/>
              <w:rPr>
                <w:i w:val="0"/>
                <w:noProof/>
                <w:sz w:val="22"/>
              </w:rPr>
            </w:pPr>
            <w:r w:rsidRPr="00EA590A">
              <w:rPr>
                <w:i w:val="0"/>
                <w:sz w:val="22"/>
              </w:rPr>
              <w:t xml:space="preserve">OU ne razpolaga z informacijami </w:t>
            </w:r>
            <w:r w:rsidRPr="00EA590A">
              <w:rPr>
                <w:i w:val="0"/>
                <w:noProof/>
                <w:sz w:val="22"/>
              </w:rPr>
              <w:t xml:space="preserve">v zvezi s postopki za ugotavljanje kršitev na podlagi 258. člena Pogodbe o delovanju Evropske unije (PDEU), v povezavi z izvajanjem programa SNV. </w:t>
            </w:r>
          </w:p>
          <w:p w14:paraId="2C97B7DA" w14:textId="77777777" w:rsidR="004D375D" w:rsidRPr="00EA590A" w:rsidRDefault="004D375D" w:rsidP="004D375D">
            <w:pPr>
              <w:pStyle w:val="Personnequisigne"/>
              <w:jc w:val="both"/>
              <w:rPr>
                <w:sz w:val="22"/>
                <w:highlight w:val="yellow"/>
              </w:rPr>
            </w:pPr>
          </w:p>
          <w:p w14:paraId="66D24F8F" w14:textId="43678B9B" w:rsidR="00A27CC8" w:rsidRPr="00EA590A" w:rsidRDefault="00A27CC8" w:rsidP="000071B9">
            <w:pPr>
              <w:pStyle w:val="Personnequisigne"/>
              <w:jc w:val="both"/>
              <w:rPr>
                <w:b/>
                <w:bCs/>
                <w:i w:val="0"/>
                <w:sz w:val="22"/>
              </w:rPr>
            </w:pPr>
            <w:r w:rsidRPr="00EA590A">
              <w:rPr>
                <w:b/>
                <w:bCs/>
                <w:i w:val="0"/>
                <w:sz w:val="22"/>
              </w:rPr>
              <w:t>Specifični cilj 1:</w:t>
            </w:r>
          </w:p>
          <w:p w14:paraId="53946C7F" w14:textId="77777777" w:rsidR="000071B9" w:rsidRPr="00EA590A" w:rsidRDefault="000071B9" w:rsidP="000071B9">
            <w:pPr>
              <w:pStyle w:val="Personnequisigne"/>
              <w:jc w:val="both"/>
              <w:rPr>
                <w:i w:val="0"/>
                <w:sz w:val="22"/>
              </w:rPr>
            </w:pPr>
          </w:p>
          <w:p w14:paraId="656C61EC" w14:textId="025213C6" w:rsidR="00765415" w:rsidRPr="00EA590A" w:rsidRDefault="00F21C6F" w:rsidP="00F21C6F">
            <w:pPr>
              <w:pStyle w:val="Personnequisigne"/>
              <w:jc w:val="both"/>
              <w:rPr>
                <w:i w:val="0"/>
                <w:sz w:val="22"/>
              </w:rPr>
            </w:pPr>
            <w:r w:rsidRPr="00EA590A">
              <w:rPr>
                <w:i w:val="0"/>
                <w:sz w:val="22"/>
              </w:rPr>
              <w:t>Dosežena vrednost O.1.1</w:t>
            </w:r>
            <w:r w:rsidR="00765415" w:rsidRPr="00EA590A">
              <w:rPr>
                <w:i w:val="0"/>
                <w:sz w:val="22"/>
              </w:rPr>
              <w:t xml:space="preserve"> (udeleženci usposabljanj) </w:t>
            </w:r>
            <w:r w:rsidRPr="00EA590A">
              <w:rPr>
                <w:i w:val="0"/>
                <w:sz w:val="22"/>
              </w:rPr>
              <w:t>in O.1.2</w:t>
            </w:r>
            <w:r w:rsidR="00765415" w:rsidRPr="00EA590A">
              <w:rPr>
                <w:i w:val="0"/>
                <w:sz w:val="22"/>
              </w:rPr>
              <w:t xml:space="preserve"> (delavnice, sestanki) </w:t>
            </w:r>
            <w:r w:rsidRPr="00EA590A">
              <w:rPr>
                <w:i w:val="0"/>
                <w:sz w:val="22"/>
              </w:rPr>
              <w:t>je nižja</w:t>
            </w:r>
            <w:r w:rsidR="00D805B7" w:rsidRPr="00EA590A">
              <w:rPr>
                <w:i w:val="0"/>
                <w:sz w:val="22"/>
              </w:rPr>
              <w:t>,</w:t>
            </w:r>
            <w:r w:rsidRPr="00EA590A">
              <w:rPr>
                <w:i w:val="0"/>
                <w:sz w:val="22"/>
              </w:rPr>
              <w:t xml:space="preserve"> kot načrtovano, zaradi  zamud pri spremembi ustrezne zakonodaje za področje PNR ter zaradi operativnih (NFL- </w:t>
            </w:r>
            <w:proofErr w:type="spellStart"/>
            <w:r w:rsidRPr="00EA590A">
              <w:rPr>
                <w:i w:val="0"/>
                <w:sz w:val="22"/>
              </w:rPr>
              <w:t>Prum</w:t>
            </w:r>
            <w:proofErr w:type="spellEnd"/>
            <w:r w:rsidRPr="00EA590A">
              <w:rPr>
                <w:i w:val="0"/>
                <w:sz w:val="22"/>
              </w:rPr>
              <w:t xml:space="preserve">, Tarčni </w:t>
            </w:r>
            <w:proofErr w:type="spellStart"/>
            <w:r w:rsidRPr="00EA590A">
              <w:rPr>
                <w:i w:val="0"/>
                <w:sz w:val="22"/>
              </w:rPr>
              <w:t>analiti</w:t>
            </w:r>
            <w:proofErr w:type="spellEnd"/>
            <w:r w:rsidRPr="00EA590A">
              <w:rPr>
                <w:i w:val="0"/>
                <w:sz w:val="22"/>
              </w:rPr>
              <w:t>) in strateških razlogov, zaradi katerih se je usposabljanja udeležilo manj oseb ali pa so bila usposabljanja celo preklicana (področje identifikacije žrtev spolnih zlorab otrok). Posledično je nižja vrednost kazalnikov R.1.7 in R.1.8</w:t>
            </w:r>
            <w:r w:rsidR="00765415" w:rsidRPr="00EA590A">
              <w:rPr>
                <w:i w:val="0"/>
                <w:sz w:val="22"/>
              </w:rPr>
              <w:t xml:space="preserve"> v zvezi z usposabljanji.</w:t>
            </w:r>
          </w:p>
          <w:p w14:paraId="5C064B61" w14:textId="09F58609" w:rsidR="00F21C6F" w:rsidRPr="00EA590A" w:rsidRDefault="00F21C6F" w:rsidP="00F21C6F">
            <w:pPr>
              <w:pStyle w:val="Personnequisigne"/>
              <w:jc w:val="both"/>
              <w:rPr>
                <w:i w:val="0"/>
                <w:sz w:val="22"/>
                <w:highlight w:val="yellow"/>
              </w:rPr>
            </w:pPr>
            <w:r w:rsidRPr="00EA590A">
              <w:rPr>
                <w:i w:val="0"/>
                <w:sz w:val="22"/>
                <w:highlight w:val="yellow"/>
              </w:rPr>
              <w:t xml:space="preserve"> </w:t>
            </w:r>
          </w:p>
          <w:p w14:paraId="2FFC693C" w14:textId="21CD3673" w:rsidR="000071B9" w:rsidRPr="00EA590A" w:rsidRDefault="00E53E12" w:rsidP="00765415">
            <w:pPr>
              <w:pStyle w:val="Personnequisigne"/>
              <w:jc w:val="both"/>
              <w:rPr>
                <w:i w:val="0"/>
                <w:sz w:val="22"/>
              </w:rPr>
            </w:pPr>
            <w:r w:rsidRPr="00EA590A">
              <w:rPr>
                <w:i w:val="0"/>
                <w:sz w:val="22"/>
              </w:rPr>
              <w:t xml:space="preserve">Kazalnik </w:t>
            </w:r>
            <w:r w:rsidR="00A27CC8" w:rsidRPr="00EA590A">
              <w:rPr>
                <w:i w:val="0"/>
                <w:sz w:val="22"/>
              </w:rPr>
              <w:t>O.1.3</w:t>
            </w:r>
            <w:r w:rsidR="00765415" w:rsidRPr="00EA590A">
              <w:rPr>
                <w:i w:val="0"/>
                <w:sz w:val="22"/>
              </w:rPr>
              <w:t xml:space="preserve"> o IT siste</w:t>
            </w:r>
            <w:r w:rsidRPr="00EA590A">
              <w:rPr>
                <w:i w:val="0"/>
                <w:sz w:val="22"/>
              </w:rPr>
              <w:t xml:space="preserve">mih </w:t>
            </w:r>
            <w:r w:rsidR="00A27CC8" w:rsidRPr="00EA590A">
              <w:rPr>
                <w:i w:val="0"/>
                <w:sz w:val="22"/>
              </w:rPr>
              <w:t>(mejnik 2024-6, cilj 2029-46)</w:t>
            </w:r>
            <w:r w:rsidRPr="00EA590A">
              <w:rPr>
                <w:i w:val="0"/>
                <w:sz w:val="22"/>
              </w:rPr>
              <w:t xml:space="preserve"> </w:t>
            </w:r>
            <w:r w:rsidR="00A27CC8" w:rsidRPr="00EA590A">
              <w:rPr>
                <w:i w:val="0"/>
                <w:sz w:val="22"/>
              </w:rPr>
              <w:t>je nižj</w:t>
            </w:r>
            <w:r w:rsidRPr="00EA590A">
              <w:rPr>
                <w:i w:val="0"/>
                <w:sz w:val="22"/>
              </w:rPr>
              <w:t>i</w:t>
            </w:r>
            <w:r w:rsidR="00D805B7" w:rsidRPr="00EA590A">
              <w:rPr>
                <w:i w:val="0"/>
                <w:sz w:val="22"/>
              </w:rPr>
              <w:t>,</w:t>
            </w:r>
            <w:r w:rsidR="00A27CC8" w:rsidRPr="00EA590A">
              <w:rPr>
                <w:i w:val="0"/>
                <w:sz w:val="22"/>
              </w:rPr>
              <w:t xml:space="preserve"> kot načrtovano</w:t>
            </w:r>
            <w:r w:rsidR="00D805B7" w:rsidRPr="00EA590A">
              <w:rPr>
                <w:i w:val="0"/>
                <w:sz w:val="22"/>
              </w:rPr>
              <w:t>,</w:t>
            </w:r>
            <w:r w:rsidR="00A27CC8" w:rsidRPr="00EA590A">
              <w:rPr>
                <w:i w:val="0"/>
                <w:sz w:val="22"/>
              </w:rPr>
              <w:t xml:space="preserve"> zaradi zamude pri sprejemanju nacionalne in evropske zakonodaje, </w:t>
            </w:r>
            <w:r w:rsidRPr="00EA590A">
              <w:rPr>
                <w:i w:val="0"/>
                <w:sz w:val="22"/>
              </w:rPr>
              <w:t>saj</w:t>
            </w:r>
            <w:r w:rsidR="00A27CC8" w:rsidRPr="00EA590A">
              <w:rPr>
                <w:i w:val="0"/>
                <w:sz w:val="22"/>
              </w:rPr>
              <w:t xml:space="preserve"> nacionalni IKT sistem za obdelavo PNR podatkov še ni v celoti funkcionalen</w:t>
            </w:r>
            <w:r w:rsidRPr="00EA590A">
              <w:rPr>
                <w:i w:val="0"/>
                <w:sz w:val="22"/>
              </w:rPr>
              <w:t xml:space="preserve">. </w:t>
            </w:r>
            <w:r w:rsidR="00A27CC8" w:rsidRPr="00EA590A">
              <w:rPr>
                <w:i w:val="0"/>
                <w:sz w:val="22"/>
              </w:rPr>
              <w:t xml:space="preserve">postopki za vzpostavitev dela IKT omrežja </w:t>
            </w:r>
            <w:r w:rsidRPr="00EA590A">
              <w:rPr>
                <w:i w:val="0"/>
                <w:sz w:val="22"/>
              </w:rPr>
              <w:t xml:space="preserve">tudi </w:t>
            </w:r>
            <w:r w:rsidR="00A27CC8" w:rsidRPr="00EA590A">
              <w:rPr>
                <w:i w:val="0"/>
                <w:sz w:val="22"/>
              </w:rPr>
              <w:t>še niso izpeljani. Ni podatka, da cilj ne bi bil dosežen.</w:t>
            </w:r>
          </w:p>
          <w:p w14:paraId="50046F7B" w14:textId="77777777" w:rsidR="00E53E12" w:rsidRPr="00EA590A" w:rsidRDefault="00E53E12" w:rsidP="00E53E12">
            <w:pPr>
              <w:pStyle w:val="Personnequisigne"/>
              <w:jc w:val="both"/>
              <w:rPr>
                <w:i w:val="0"/>
                <w:sz w:val="22"/>
              </w:rPr>
            </w:pPr>
          </w:p>
          <w:p w14:paraId="635581AA" w14:textId="3BFD98D3" w:rsidR="00E22063" w:rsidRPr="00EA590A" w:rsidRDefault="00A27CC8" w:rsidP="00E22063">
            <w:pPr>
              <w:pStyle w:val="Personnequisigne"/>
              <w:jc w:val="both"/>
              <w:rPr>
                <w:i w:val="0"/>
                <w:sz w:val="22"/>
              </w:rPr>
            </w:pPr>
            <w:r w:rsidRPr="00EA590A">
              <w:rPr>
                <w:i w:val="0"/>
                <w:sz w:val="22"/>
              </w:rPr>
              <w:t>O.1.4-Število kupljenih kosov opreme-77 (mejnik 2024-1.224, cilj 2029-3.182)</w:t>
            </w:r>
            <w:r w:rsidR="000071B9" w:rsidRPr="00EA590A">
              <w:rPr>
                <w:i w:val="0"/>
                <w:sz w:val="22"/>
              </w:rPr>
              <w:t xml:space="preserve">: </w:t>
            </w:r>
            <w:r w:rsidR="00E53E12" w:rsidRPr="00EA590A">
              <w:rPr>
                <w:i w:val="0"/>
                <w:sz w:val="22"/>
              </w:rPr>
              <w:t xml:space="preserve">Na dosežene ciljne vrednosti so vplivale </w:t>
            </w:r>
            <w:r w:rsidRPr="00EA590A">
              <w:rPr>
                <w:i w:val="0"/>
                <w:sz w:val="22"/>
              </w:rPr>
              <w:t>sprememb v organiziranosti Policije</w:t>
            </w:r>
            <w:r w:rsidR="00E53E12" w:rsidRPr="00EA590A">
              <w:rPr>
                <w:i w:val="0"/>
                <w:sz w:val="22"/>
              </w:rPr>
              <w:t xml:space="preserve"> </w:t>
            </w:r>
            <w:r w:rsidR="002222BA" w:rsidRPr="00EA590A">
              <w:rPr>
                <w:i w:val="0"/>
                <w:sz w:val="22"/>
              </w:rPr>
              <w:t xml:space="preserve">po </w:t>
            </w:r>
            <w:r w:rsidR="00E53E12" w:rsidRPr="00EA590A">
              <w:rPr>
                <w:i w:val="0"/>
                <w:sz w:val="22"/>
              </w:rPr>
              <w:t>vstopu Republike Hrvaške v Schengensko območje -</w:t>
            </w:r>
            <w:r w:rsidR="002222BA" w:rsidRPr="00EA590A">
              <w:rPr>
                <w:i w:val="0"/>
                <w:sz w:val="22"/>
              </w:rPr>
              <w:t xml:space="preserve"> </w:t>
            </w:r>
            <w:r w:rsidRPr="00EA590A">
              <w:rPr>
                <w:i w:val="0"/>
                <w:sz w:val="22"/>
              </w:rPr>
              <w:t>ukinile, spremenile ali preselile so se policijske lokacije, predvsem na južni meji</w:t>
            </w:r>
            <w:r w:rsidR="00D805B7" w:rsidRPr="00EA590A">
              <w:rPr>
                <w:i w:val="0"/>
                <w:sz w:val="22"/>
              </w:rPr>
              <w:t>,</w:t>
            </w:r>
            <w:r w:rsidRPr="00EA590A">
              <w:rPr>
                <w:i w:val="0"/>
                <w:sz w:val="22"/>
              </w:rPr>
              <w:t xml:space="preserve"> za katere ni več potrebno zagotavljati komunikacijske opreme v predvidenem obsegu.  Potrebe po opremi so se zmanjšale, zaradi spremembe varnostnega okolja</w:t>
            </w:r>
            <w:r w:rsidR="00E22063" w:rsidRPr="00EA590A">
              <w:rPr>
                <w:i w:val="0"/>
                <w:sz w:val="22"/>
              </w:rPr>
              <w:t xml:space="preserve"> Slovenije.</w:t>
            </w:r>
            <w:r w:rsidRPr="00EA590A">
              <w:rPr>
                <w:i w:val="0"/>
                <w:sz w:val="22"/>
              </w:rPr>
              <w:t xml:space="preserve"> </w:t>
            </w:r>
          </w:p>
          <w:p w14:paraId="0AD76BAD" w14:textId="77777777" w:rsidR="00E22063" w:rsidRPr="00EA590A" w:rsidRDefault="00E22063" w:rsidP="00E22063">
            <w:pPr>
              <w:pStyle w:val="Personnequisigne"/>
              <w:jc w:val="both"/>
              <w:rPr>
                <w:i w:val="0"/>
                <w:sz w:val="22"/>
              </w:rPr>
            </w:pPr>
          </w:p>
          <w:p w14:paraId="1154D9D1" w14:textId="0ADC98BE" w:rsidR="000071B9" w:rsidRPr="00EA590A" w:rsidRDefault="00A27CC8" w:rsidP="00E22063">
            <w:pPr>
              <w:pStyle w:val="Personnequisigne"/>
              <w:jc w:val="both"/>
              <w:rPr>
                <w:i w:val="0"/>
                <w:sz w:val="22"/>
              </w:rPr>
            </w:pPr>
            <w:r w:rsidRPr="00EA590A">
              <w:rPr>
                <w:i w:val="0"/>
                <w:sz w:val="22"/>
              </w:rPr>
              <w:t>R.1.5-</w:t>
            </w:r>
            <w:r w:rsidR="00E22063" w:rsidRPr="00EA590A">
              <w:rPr>
                <w:i w:val="0"/>
                <w:sz w:val="22"/>
              </w:rPr>
              <w:t xml:space="preserve">o </w:t>
            </w:r>
            <w:r w:rsidRPr="00EA590A">
              <w:rPr>
                <w:i w:val="0"/>
                <w:sz w:val="22"/>
              </w:rPr>
              <w:t>IKT</w:t>
            </w:r>
            <w:r w:rsidR="00E22063" w:rsidRPr="00EA590A">
              <w:rPr>
                <w:i w:val="0"/>
                <w:sz w:val="22"/>
              </w:rPr>
              <w:t xml:space="preserve"> sistemih, ki so postali </w:t>
            </w:r>
            <w:proofErr w:type="spellStart"/>
            <w:r w:rsidR="00E22063" w:rsidRPr="00EA590A">
              <w:rPr>
                <w:i w:val="0"/>
                <w:sz w:val="22"/>
              </w:rPr>
              <w:t>i</w:t>
            </w:r>
            <w:r w:rsidRPr="00EA590A">
              <w:rPr>
                <w:i w:val="0"/>
                <w:sz w:val="22"/>
              </w:rPr>
              <w:t>nteroperabilni</w:t>
            </w:r>
            <w:proofErr w:type="spellEnd"/>
            <w:r w:rsidRPr="00EA590A">
              <w:rPr>
                <w:i w:val="0"/>
                <w:sz w:val="22"/>
              </w:rPr>
              <w:t xml:space="preserve"> - 0 (cilj 2029-5)</w:t>
            </w:r>
            <w:r w:rsidR="000071B9" w:rsidRPr="00EA590A">
              <w:rPr>
                <w:i w:val="0"/>
                <w:sz w:val="22"/>
              </w:rPr>
              <w:t xml:space="preserve">: </w:t>
            </w:r>
            <w:r w:rsidRPr="00EA590A">
              <w:rPr>
                <w:i w:val="0"/>
                <w:sz w:val="22"/>
              </w:rPr>
              <w:t>Kazalnik se poroča ob zaključku operacije, ni podatka</w:t>
            </w:r>
            <w:r w:rsidR="00D805B7" w:rsidRPr="00EA590A">
              <w:rPr>
                <w:i w:val="0"/>
                <w:sz w:val="22"/>
              </w:rPr>
              <w:t>,</w:t>
            </w:r>
            <w:r w:rsidRPr="00EA590A">
              <w:rPr>
                <w:i w:val="0"/>
                <w:sz w:val="22"/>
              </w:rPr>
              <w:t xml:space="preserve"> da kazalnik do 2029 ne bi bil dosežen.</w:t>
            </w:r>
          </w:p>
          <w:p w14:paraId="72BE8ADE" w14:textId="77777777" w:rsidR="00E22063" w:rsidRPr="00EA590A" w:rsidRDefault="00E22063" w:rsidP="00E22063">
            <w:pPr>
              <w:pStyle w:val="Personnequisigne"/>
              <w:jc w:val="both"/>
              <w:rPr>
                <w:i w:val="0"/>
                <w:sz w:val="22"/>
              </w:rPr>
            </w:pPr>
          </w:p>
          <w:p w14:paraId="769E6010" w14:textId="62390676" w:rsidR="00A27CC8" w:rsidRPr="00EA590A" w:rsidRDefault="00A27CC8" w:rsidP="00E22063">
            <w:pPr>
              <w:pStyle w:val="Personnequisigne"/>
              <w:jc w:val="both"/>
              <w:rPr>
                <w:i w:val="0"/>
                <w:sz w:val="22"/>
              </w:rPr>
            </w:pPr>
            <w:r w:rsidRPr="00EA590A">
              <w:rPr>
                <w:i w:val="0"/>
                <w:sz w:val="22"/>
              </w:rPr>
              <w:t>R.1.6-</w:t>
            </w:r>
            <w:r w:rsidR="00E22063" w:rsidRPr="00EA590A">
              <w:rPr>
                <w:i w:val="0"/>
                <w:sz w:val="22"/>
              </w:rPr>
              <w:t xml:space="preserve"> o </w:t>
            </w:r>
            <w:r w:rsidRPr="00EA590A">
              <w:rPr>
                <w:i w:val="0"/>
                <w:sz w:val="22"/>
              </w:rPr>
              <w:t>upravnih enot</w:t>
            </w:r>
            <w:r w:rsidR="00E22063" w:rsidRPr="00EA590A">
              <w:rPr>
                <w:i w:val="0"/>
                <w:sz w:val="22"/>
              </w:rPr>
              <w:t>ah, ki so po</w:t>
            </w:r>
            <w:r w:rsidRPr="00EA590A">
              <w:rPr>
                <w:i w:val="0"/>
                <w:sz w:val="22"/>
              </w:rPr>
              <w:t>sodobile obstoječe mehanizme/postopke/orodja/smernice za izmenjavo informacij -</w:t>
            </w:r>
            <w:r w:rsidR="00D805B7" w:rsidRPr="00EA590A">
              <w:rPr>
                <w:i w:val="0"/>
                <w:sz w:val="22"/>
              </w:rPr>
              <w:t xml:space="preserve"> </w:t>
            </w:r>
            <w:r w:rsidRPr="00EA590A">
              <w:rPr>
                <w:i w:val="0"/>
                <w:sz w:val="22"/>
              </w:rPr>
              <w:t>0 (cilj 2029-3)</w:t>
            </w:r>
            <w:r w:rsidR="000071B9" w:rsidRPr="00EA590A">
              <w:rPr>
                <w:i w:val="0"/>
                <w:sz w:val="22"/>
              </w:rPr>
              <w:t xml:space="preserve">: </w:t>
            </w:r>
            <w:r w:rsidRPr="00EA590A">
              <w:rPr>
                <w:i w:val="0"/>
                <w:sz w:val="22"/>
              </w:rPr>
              <w:t>Kazalnik se poroča ob zaključku operacije, ni podatka</w:t>
            </w:r>
            <w:r w:rsidR="00D805B7" w:rsidRPr="00EA590A">
              <w:rPr>
                <w:i w:val="0"/>
                <w:sz w:val="22"/>
              </w:rPr>
              <w:t>,</w:t>
            </w:r>
            <w:r w:rsidRPr="00EA590A">
              <w:rPr>
                <w:i w:val="0"/>
                <w:sz w:val="22"/>
              </w:rPr>
              <w:t xml:space="preserve"> da kazalnik do 2029 ne bi bil dosežen.</w:t>
            </w:r>
          </w:p>
          <w:p w14:paraId="34D82F8A" w14:textId="77777777" w:rsidR="00A27CC8" w:rsidRPr="00EA590A" w:rsidRDefault="00A27CC8" w:rsidP="000071B9">
            <w:pPr>
              <w:pStyle w:val="Personnequisigne"/>
              <w:jc w:val="both"/>
              <w:rPr>
                <w:i w:val="0"/>
                <w:sz w:val="22"/>
                <w:highlight w:val="yellow"/>
              </w:rPr>
            </w:pPr>
          </w:p>
          <w:p w14:paraId="64A47FFF" w14:textId="77777777" w:rsidR="00A27CC8" w:rsidRPr="00EA590A" w:rsidRDefault="00A27CC8" w:rsidP="000071B9">
            <w:pPr>
              <w:pStyle w:val="Personnequisigne"/>
              <w:jc w:val="both"/>
              <w:rPr>
                <w:i w:val="0"/>
                <w:sz w:val="22"/>
                <w:highlight w:val="yellow"/>
              </w:rPr>
            </w:pPr>
          </w:p>
          <w:p w14:paraId="0EAEC49A" w14:textId="5E8EEBF2" w:rsidR="009F0BD9" w:rsidRPr="00EA590A" w:rsidRDefault="000071B9" w:rsidP="009F0BD9">
            <w:pPr>
              <w:pStyle w:val="Personnequisigne"/>
              <w:jc w:val="both"/>
              <w:rPr>
                <w:b/>
                <w:bCs/>
                <w:i w:val="0"/>
                <w:sz w:val="22"/>
              </w:rPr>
            </w:pPr>
            <w:r w:rsidRPr="00EA590A">
              <w:rPr>
                <w:b/>
                <w:bCs/>
                <w:i w:val="0"/>
                <w:sz w:val="22"/>
              </w:rPr>
              <w:t>Specifični cilj 2:</w:t>
            </w:r>
          </w:p>
          <w:p w14:paraId="63D82C84" w14:textId="77777777" w:rsidR="007F6FA4" w:rsidRPr="00EA590A" w:rsidRDefault="007F6FA4" w:rsidP="007F6FA4">
            <w:pPr>
              <w:pStyle w:val="Personnequisigne"/>
              <w:jc w:val="both"/>
              <w:rPr>
                <w:i w:val="0"/>
                <w:sz w:val="22"/>
              </w:rPr>
            </w:pPr>
          </w:p>
          <w:p w14:paraId="2DBCA2D3" w14:textId="14B0DDFE" w:rsidR="000071B9" w:rsidRPr="00EA590A" w:rsidRDefault="00A27CC8" w:rsidP="000071B9">
            <w:pPr>
              <w:pStyle w:val="Personnequisigne"/>
              <w:jc w:val="both"/>
              <w:rPr>
                <w:i w:val="0"/>
                <w:sz w:val="22"/>
              </w:rPr>
            </w:pPr>
            <w:r w:rsidRPr="00EA590A">
              <w:rPr>
                <w:i w:val="0"/>
                <w:sz w:val="22"/>
              </w:rPr>
              <w:t xml:space="preserve">Dosežena vrednost </w:t>
            </w:r>
            <w:r w:rsidR="007F6FA4" w:rsidRPr="00EA590A">
              <w:rPr>
                <w:i w:val="0"/>
                <w:sz w:val="22"/>
              </w:rPr>
              <w:t>za O.2.1-o čezmejnih operacij</w:t>
            </w:r>
            <w:r w:rsidR="008A5317" w:rsidRPr="00EA590A">
              <w:rPr>
                <w:i w:val="0"/>
                <w:sz w:val="22"/>
              </w:rPr>
              <w:t>ah</w:t>
            </w:r>
            <w:r w:rsidR="007F6FA4" w:rsidRPr="00EA590A">
              <w:rPr>
                <w:i w:val="0"/>
                <w:sz w:val="22"/>
              </w:rPr>
              <w:t xml:space="preserve">- 59 (mejnik 2024-60, cilj 2029 – 320) ter R.2.9- za osebje, udeleženo v čezmejnih operacijah-195 (cilj 2029-265) </w:t>
            </w:r>
            <w:r w:rsidRPr="00EA590A">
              <w:rPr>
                <w:i w:val="0"/>
                <w:sz w:val="22"/>
              </w:rPr>
              <w:t>je nižja</w:t>
            </w:r>
            <w:r w:rsidR="008A5317" w:rsidRPr="00EA590A">
              <w:rPr>
                <w:i w:val="0"/>
                <w:sz w:val="22"/>
              </w:rPr>
              <w:t>,</w:t>
            </w:r>
            <w:r w:rsidRPr="00EA590A">
              <w:rPr>
                <w:i w:val="0"/>
                <w:sz w:val="22"/>
              </w:rPr>
              <w:t xml:space="preserve"> kot načrtovano. Načrtovana vrednost za mejnik je bila določena za obdobje 2021 - 2024, ker se je izvajanje pričelo v marcu 2023, </w:t>
            </w:r>
            <w:r w:rsidRPr="00EA590A">
              <w:rPr>
                <w:i w:val="0"/>
                <w:sz w:val="22"/>
              </w:rPr>
              <w:lastRenderedPageBreak/>
              <w:t>ta vrednost ni dosežena in ocena je, da bo ciljna dosežena vrednost 160 in ne 320, tudi glede na oceno trenutnih varnostnih razmer oziroma čezmejne kriminalitete.</w:t>
            </w:r>
          </w:p>
          <w:p w14:paraId="38FFF151" w14:textId="74337F1A" w:rsidR="000071B9" w:rsidRPr="00EA590A" w:rsidRDefault="000071B9" w:rsidP="004D375D">
            <w:pPr>
              <w:pStyle w:val="Personnequisigne"/>
              <w:ind w:left="360"/>
              <w:jc w:val="both"/>
              <w:rPr>
                <w:i w:val="0"/>
                <w:sz w:val="22"/>
                <w:highlight w:val="yellow"/>
              </w:rPr>
            </w:pPr>
          </w:p>
          <w:p w14:paraId="17FF42F6" w14:textId="6041057B" w:rsidR="00A27CC8" w:rsidRPr="00EA590A" w:rsidRDefault="00A27CC8" w:rsidP="00267CF2">
            <w:pPr>
              <w:pStyle w:val="Personnequisigne"/>
              <w:jc w:val="both"/>
              <w:rPr>
                <w:i w:val="0"/>
                <w:sz w:val="22"/>
              </w:rPr>
            </w:pPr>
            <w:r w:rsidRPr="00EA590A">
              <w:rPr>
                <w:i w:val="0"/>
                <w:sz w:val="22"/>
              </w:rPr>
              <w:t xml:space="preserve">Dosežena vrednost </w:t>
            </w:r>
            <w:r w:rsidR="007F6FA4" w:rsidRPr="00EA590A">
              <w:rPr>
                <w:i w:val="0"/>
                <w:sz w:val="22"/>
              </w:rPr>
              <w:t xml:space="preserve">za O.2.1.1- o skupnih preiskovalnih skupinah- 4 (mejnik 2024-5, cilj 2029-20) </w:t>
            </w:r>
            <w:r w:rsidRPr="00EA590A">
              <w:rPr>
                <w:i w:val="0"/>
                <w:sz w:val="22"/>
              </w:rPr>
              <w:t>je nižja</w:t>
            </w:r>
            <w:r w:rsidR="008A5317" w:rsidRPr="00EA590A">
              <w:rPr>
                <w:i w:val="0"/>
                <w:sz w:val="22"/>
              </w:rPr>
              <w:t>,</w:t>
            </w:r>
            <w:r w:rsidRPr="00EA590A">
              <w:rPr>
                <w:i w:val="0"/>
                <w:sz w:val="22"/>
              </w:rPr>
              <w:t xml:space="preserve"> kot načrtovano. Mejnik ni dosežen, kajti Policija nima neposrednega vpliva na ustanovitev skupne preiskovalne skupine, to je v domeni generalnega državnega tožilca, ki sklene sporazumom o ustanovitvi in delovanju skupne preiskovalne skupine na ozemlju RS ali druge države (Zakon o kazenskem postopku, 160.b člen).</w:t>
            </w:r>
          </w:p>
          <w:p w14:paraId="6A58512F" w14:textId="77777777" w:rsidR="00267CF2" w:rsidRPr="00EA590A" w:rsidRDefault="00267CF2" w:rsidP="00267CF2">
            <w:pPr>
              <w:pStyle w:val="Personnequisigne"/>
              <w:jc w:val="both"/>
              <w:rPr>
                <w:i w:val="0"/>
                <w:sz w:val="22"/>
              </w:rPr>
            </w:pPr>
          </w:p>
          <w:p w14:paraId="61402BCD" w14:textId="615739FC" w:rsidR="00A27CC8" w:rsidRPr="00EA590A" w:rsidRDefault="00A27CC8" w:rsidP="00267CF2">
            <w:pPr>
              <w:pStyle w:val="Personnequisigne"/>
              <w:jc w:val="both"/>
              <w:rPr>
                <w:i w:val="0"/>
                <w:sz w:val="22"/>
              </w:rPr>
            </w:pPr>
            <w:r w:rsidRPr="00EA590A">
              <w:rPr>
                <w:i w:val="0"/>
                <w:sz w:val="22"/>
              </w:rPr>
              <w:t>O.2.1.2-Od tega število operativnih ukrepov iz cikla politike EU/EMPACT-7 (mejnik 2024-3, cilj 2029-6)</w:t>
            </w:r>
            <w:r w:rsidR="000071B9" w:rsidRPr="00EA590A">
              <w:rPr>
                <w:i w:val="0"/>
                <w:sz w:val="22"/>
              </w:rPr>
              <w:t xml:space="preserve">: </w:t>
            </w:r>
            <w:r w:rsidRPr="00EA590A">
              <w:rPr>
                <w:i w:val="0"/>
                <w:sz w:val="22"/>
              </w:rPr>
              <w:t>Dosežena vrednost je višja, celo presežena, saj Policija nima neposrednega vpliva na povabila v EMPACT.</w:t>
            </w:r>
          </w:p>
          <w:p w14:paraId="799B995B" w14:textId="77777777" w:rsidR="00267CF2" w:rsidRPr="00EA590A" w:rsidRDefault="00267CF2" w:rsidP="00267CF2">
            <w:pPr>
              <w:pStyle w:val="Personnequisigne"/>
              <w:jc w:val="both"/>
              <w:rPr>
                <w:i w:val="0"/>
                <w:sz w:val="22"/>
              </w:rPr>
            </w:pPr>
          </w:p>
          <w:p w14:paraId="546C4252" w14:textId="4E785682" w:rsidR="00EC5A18" w:rsidRPr="00EA590A" w:rsidRDefault="00A27CC8" w:rsidP="00267CF2">
            <w:pPr>
              <w:pStyle w:val="Personnequisigne"/>
              <w:jc w:val="both"/>
              <w:rPr>
                <w:i w:val="0"/>
                <w:sz w:val="22"/>
              </w:rPr>
            </w:pPr>
            <w:r w:rsidRPr="00EA590A">
              <w:rPr>
                <w:i w:val="0"/>
                <w:sz w:val="22"/>
              </w:rPr>
              <w:t>O.2.3-Število kupljenih kosov opreme-</w:t>
            </w:r>
            <w:r w:rsidR="00F21C6F" w:rsidRPr="00EA590A">
              <w:rPr>
                <w:i w:val="0"/>
                <w:sz w:val="22"/>
              </w:rPr>
              <w:t>44</w:t>
            </w:r>
            <w:r w:rsidRPr="00EA590A">
              <w:rPr>
                <w:i w:val="0"/>
                <w:sz w:val="22"/>
              </w:rPr>
              <w:t xml:space="preserve"> (mejnik 2024-18, cilj 2029-53)</w:t>
            </w:r>
            <w:r w:rsidR="000071B9" w:rsidRPr="00EA590A">
              <w:rPr>
                <w:i w:val="0"/>
                <w:sz w:val="22"/>
              </w:rPr>
              <w:t xml:space="preserve">: </w:t>
            </w:r>
            <w:r w:rsidRPr="00EA590A">
              <w:rPr>
                <w:i w:val="0"/>
                <w:sz w:val="22"/>
              </w:rPr>
              <w:t>Mejnik je presežen, vrednost kazalnika se povečuje, se prilagaja operativnim potrebam in je odvisna tudi od časa, ki je potreben za izpeljavo javnih naročil.</w:t>
            </w:r>
            <w:r w:rsidR="00F21C6F" w:rsidRPr="00EA590A">
              <w:rPr>
                <w:sz w:val="22"/>
              </w:rPr>
              <w:t xml:space="preserve"> </w:t>
            </w:r>
            <w:r w:rsidR="00F21C6F" w:rsidRPr="00EA590A">
              <w:rPr>
                <w:i w:val="0"/>
                <w:sz w:val="22"/>
              </w:rPr>
              <w:t>Cilj bo predvidoma dosežen.</w:t>
            </w:r>
          </w:p>
          <w:p w14:paraId="066792D3" w14:textId="77777777" w:rsidR="00267CF2" w:rsidRPr="00EA590A" w:rsidRDefault="00267CF2" w:rsidP="00267CF2">
            <w:pPr>
              <w:pStyle w:val="Personnequisigne"/>
              <w:jc w:val="both"/>
              <w:rPr>
                <w:i w:val="0"/>
                <w:sz w:val="22"/>
              </w:rPr>
            </w:pPr>
          </w:p>
          <w:p w14:paraId="04CFBE73" w14:textId="30B0B6F5" w:rsidR="00F21C6F" w:rsidRPr="00EA590A" w:rsidRDefault="00A27CC8" w:rsidP="00267CF2">
            <w:pPr>
              <w:pStyle w:val="Personnequisigne"/>
              <w:jc w:val="both"/>
              <w:rPr>
                <w:i w:val="0"/>
                <w:sz w:val="22"/>
              </w:rPr>
            </w:pPr>
            <w:r w:rsidRPr="00EA590A">
              <w:rPr>
                <w:i w:val="0"/>
                <w:sz w:val="22"/>
              </w:rPr>
              <w:t>O.2.4-Število prevoznih sredstev, kupljenih za čezmejne operacije-2</w:t>
            </w:r>
            <w:r w:rsidR="00F21C6F" w:rsidRPr="00EA590A">
              <w:rPr>
                <w:i w:val="0"/>
                <w:sz w:val="22"/>
              </w:rPr>
              <w:t>7</w:t>
            </w:r>
            <w:r w:rsidRPr="00EA590A">
              <w:rPr>
                <w:i w:val="0"/>
                <w:sz w:val="22"/>
              </w:rPr>
              <w:t xml:space="preserve"> (mejnik 2024-26, cilj 2029-61)</w:t>
            </w:r>
            <w:r w:rsidR="000071B9" w:rsidRPr="00EA590A">
              <w:rPr>
                <w:i w:val="0"/>
                <w:sz w:val="22"/>
              </w:rPr>
              <w:t xml:space="preserve">: </w:t>
            </w:r>
            <w:r w:rsidRPr="00EA590A">
              <w:rPr>
                <w:i w:val="0"/>
                <w:sz w:val="22"/>
              </w:rPr>
              <w:t>Mejnik dosežen, vrednost kazalnika se povečuje, se prilagaja operativnim potrebam in je odvisna tudi od časa, ki je potreben za izpeljavo javnih naročil.</w:t>
            </w:r>
          </w:p>
          <w:p w14:paraId="0B7A02D5" w14:textId="77777777" w:rsidR="004D375D" w:rsidRPr="00EA590A" w:rsidRDefault="004D375D" w:rsidP="004D375D">
            <w:pPr>
              <w:pStyle w:val="Personnequisigne"/>
              <w:jc w:val="both"/>
              <w:rPr>
                <w:i w:val="0"/>
                <w:sz w:val="22"/>
              </w:rPr>
            </w:pPr>
          </w:p>
          <w:p w14:paraId="5F299837" w14:textId="696C7803" w:rsidR="004D375D" w:rsidRPr="00EA590A" w:rsidRDefault="004D375D" w:rsidP="00267CF2">
            <w:pPr>
              <w:pStyle w:val="Personnequisigne"/>
              <w:jc w:val="both"/>
              <w:rPr>
                <w:i w:val="0"/>
                <w:sz w:val="22"/>
              </w:rPr>
            </w:pPr>
            <w:r w:rsidRPr="00EA590A">
              <w:rPr>
                <w:i w:val="0"/>
                <w:sz w:val="22"/>
              </w:rPr>
              <w:t>Kazalnik</w:t>
            </w:r>
            <w:r w:rsidR="008A5317" w:rsidRPr="00EA590A">
              <w:rPr>
                <w:i w:val="0"/>
                <w:sz w:val="22"/>
              </w:rPr>
              <w:t>i</w:t>
            </w:r>
            <w:r w:rsidRPr="00EA590A">
              <w:rPr>
                <w:i w:val="0"/>
                <w:sz w:val="22"/>
              </w:rPr>
              <w:t xml:space="preserve"> R2.5 do R2.7.3 se nanašajo na ocenjeno vrednost sredstev, zamrznjenih v čezmejnih operacijah, prepovedane droge in orožje in so bili določeni na podlagi statističnih podatkov in  analize trendov iz letnih poročil o delu policije za obdobje od 2010 do 2020.  Izkazalo se je, da so vrednosti nekaterih kazalnikov določene previsoko, ker le</w:t>
            </w:r>
            <w:r w:rsidR="008A5317" w:rsidRPr="00EA590A">
              <w:rPr>
                <w:i w:val="0"/>
                <w:sz w:val="22"/>
              </w:rPr>
              <w:t>-</w:t>
            </w:r>
            <w:r w:rsidRPr="00EA590A">
              <w:rPr>
                <w:i w:val="0"/>
                <w:sz w:val="22"/>
              </w:rPr>
              <w:t xml:space="preserve">te vključujejo tudi količine, ki so bile zasežene izven čezmejnih operacij (vse kar je zasegla policija v določenem letu). Glede na to, da dosežene vrednosti kazalnikov odražajo samo aktivnosti policije v čezmejnih operacijah, verjetno ne bodo dosežene, kljub popolnemu angažmaju.  </w:t>
            </w:r>
          </w:p>
          <w:p w14:paraId="49328C62" w14:textId="77777777" w:rsidR="00267CF2" w:rsidRPr="00EA590A" w:rsidRDefault="00267CF2" w:rsidP="00267CF2">
            <w:pPr>
              <w:pStyle w:val="Personnequisigne"/>
              <w:jc w:val="both"/>
              <w:rPr>
                <w:i w:val="0"/>
                <w:sz w:val="22"/>
                <w:highlight w:val="yellow"/>
              </w:rPr>
            </w:pPr>
          </w:p>
          <w:p w14:paraId="7CEC2343" w14:textId="0144F39E" w:rsidR="00A27CC8" w:rsidRPr="00EA590A" w:rsidRDefault="00A27CC8" w:rsidP="00267CF2">
            <w:pPr>
              <w:pStyle w:val="Personnequisigne"/>
              <w:jc w:val="both"/>
              <w:rPr>
                <w:i w:val="0"/>
                <w:sz w:val="22"/>
              </w:rPr>
            </w:pPr>
            <w:r w:rsidRPr="00EA590A">
              <w:rPr>
                <w:i w:val="0"/>
                <w:sz w:val="22"/>
              </w:rPr>
              <w:t>R.2.8</w:t>
            </w:r>
            <w:r w:rsidR="00B51C03" w:rsidRPr="00EA590A">
              <w:rPr>
                <w:i w:val="0"/>
                <w:sz w:val="22"/>
              </w:rPr>
              <w:t xml:space="preserve"> </w:t>
            </w:r>
            <w:r w:rsidRPr="00EA590A">
              <w:rPr>
                <w:i w:val="0"/>
                <w:sz w:val="22"/>
              </w:rPr>
              <w:t>se poroča ob zaključku operacije, ni podatka</w:t>
            </w:r>
            <w:r w:rsidR="008A5317" w:rsidRPr="00EA590A">
              <w:rPr>
                <w:i w:val="0"/>
                <w:sz w:val="22"/>
              </w:rPr>
              <w:t>,</w:t>
            </w:r>
            <w:r w:rsidRPr="00EA590A">
              <w:rPr>
                <w:i w:val="0"/>
                <w:sz w:val="22"/>
              </w:rPr>
              <w:t xml:space="preserve"> da kazalnik do 2029 ne bi bil dosežen.</w:t>
            </w:r>
          </w:p>
          <w:p w14:paraId="3C92C686" w14:textId="77777777" w:rsidR="000071B9" w:rsidRPr="00EA590A" w:rsidRDefault="000071B9" w:rsidP="000071B9">
            <w:pPr>
              <w:pStyle w:val="Personnequisigne"/>
              <w:jc w:val="both"/>
              <w:rPr>
                <w:i w:val="0"/>
                <w:sz w:val="22"/>
              </w:rPr>
            </w:pPr>
          </w:p>
          <w:p w14:paraId="33BB1560" w14:textId="77777777" w:rsidR="00EC5A18" w:rsidRPr="00EA590A" w:rsidRDefault="000071B9" w:rsidP="00EC5A18">
            <w:pPr>
              <w:pStyle w:val="Personnequisigne"/>
              <w:jc w:val="both"/>
              <w:rPr>
                <w:b/>
                <w:bCs/>
                <w:i w:val="0"/>
                <w:sz w:val="22"/>
              </w:rPr>
            </w:pPr>
            <w:r w:rsidRPr="00EA590A">
              <w:rPr>
                <w:b/>
                <w:bCs/>
                <w:i w:val="0"/>
                <w:sz w:val="22"/>
              </w:rPr>
              <w:t>Specifični cilj 3:</w:t>
            </w:r>
          </w:p>
          <w:p w14:paraId="3E9E7AA0" w14:textId="77777777" w:rsidR="004D375D" w:rsidRPr="00EA590A" w:rsidRDefault="004D375D" w:rsidP="000071B9">
            <w:pPr>
              <w:pStyle w:val="Personnequisigne"/>
              <w:jc w:val="both"/>
              <w:rPr>
                <w:i w:val="0"/>
                <w:sz w:val="22"/>
                <w:highlight w:val="yellow"/>
              </w:rPr>
            </w:pPr>
          </w:p>
          <w:p w14:paraId="74C5919E" w14:textId="30838988" w:rsidR="000071B9" w:rsidRPr="00EA590A" w:rsidRDefault="00A27CC8" w:rsidP="000071B9">
            <w:pPr>
              <w:pStyle w:val="Personnequisigne"/>
              <w:jc w:val="both"/>
              <w:rPr>
                <w:i w:val="0"/>
                <w:sz w:val="22"/>
              </w:rPr>
            </w:pPr>
            <w:r w:rsidRPr="00EA590A">
              <w:rPr>
                <w:i w:val="0"/>
                <w:sz w:val="22"/>
              </w:rPr>
              <w:t>Načrtovana vrednost mejnika O.3.1</w:t>
            </w:r>
            <w:r w:rsidR="002222BA" w:rsidRPr="00EA590A">
              <w:rPr>
                <w:i w:val="0"/>
                <w:sz w:val="22"/>
              </w:rPr>
              <w:t xml:space="preserve"> za udeležbo na usposabljanjih</w:t>
            </w:r>
            <w:r w:rsidRPr="00EA590A">
              <w:rPr>
                <w:i w:val="0"/>
                <w:sz w:val="22"/>
              </w:rPr>
              <w:t xml:space="preserve"> in posledično R.3.12 in R.3.13 </w:t>
            </w:r>
            <w:r w:rsidR="002222BA" w:rsidRPr="00EA590A">
              <w:rPr>
                <w:i w:val="0"/>
                <w:sz w:val="22"/>
              </w:rPr>
              <w:t xml:space="preserve">za učinke usposabljanj </w:t>
            </w:r>
            <w:r w:rsidRPr="00EA590A">
              <w:rPr>
                <w:i w:val="0"/>
                <w:sz w:val="22"/>
              </w:rPr>
              <w:t xml:space="preserve">ni dosežena in tudi cilj ne bo. Do nižjih vrednosti prihaja, ker se vsaka osebe šteje le enkrat, se pa posamezne osebe udeležujejo več usposabljanj (npr. Vzpostavitev nacionalnih kapacitet na področju </w:t>
            </w:r>
            <w:proofErr w:type="spellStart"/>
            <w:r w:rsidRPr="00EA590A">
              <w:rPr>
                <w:i w:val="0"/>
                <w:sz w:val="22"/>
              </w:rPr>
              <w:t>okoljske</w:t>
            </w:r>
            <w:proofErr w:type="spellEnd"/>
            <w:r w:rsidRPr="00EA590A">
              <w:rPr>
                <w:i w:val="0"/>
                <w:sz w:val="22"/>
              </w:rPr>
              <w:t xml:space="preserve"> kriminalitete), zaradi zamude pri nakupu opreme (npr. Izboljšanje kapacitet na področju kibernetske kriminalitete in digitalne </w:t>
            </w:r>
            <w:proofErr w:type="spellStart"/>
            <w:r w:rsidRPr="00EA590A">
              <w:rPr>
                <w:i w:val="0"/>
                <w:sz w:val="22"/>
              </w:rPr>
              <w:t>forenzike</w:t>
            </w:r>
            <w:proofErr w:type="spellEnd"/>
            <w:r w:rsidRPr="00EA590A">
              <w:rPr>
                <w:i w:val="0"/>
                <w:sz w:val="22"/>
              </w:rPr>
              <w:t>) in bodo zato usposabljanja izvedena kasneje ali pa</w:t>
            </w:r>
            <w:r w:rsidR="004A0067" w:rsidRPr="00EA590A">
              <w:rPr>
                <w:i w:val="0"/>
                <w:sz w:val="22"/>
              </w:rPr>
              <w:t>,</w:t>
            </w:r>
            <w:r w:rsidRPr="00EA590A">
              <w:rPr>
                <w:i w:val="0"/>
                <w:sz w:val="22"/>
              </w:rPr>
              <w:t xml:space="preserve"> ker se je operacija začela izvajati kasneje (2023), načrtovana vrednost pa je vključevala 3 leta (Učinkovita zaščita prič in žvižgačev). Na področju GIS je bilo usposabljanje izvedeno le za napredne uporabnike in strokovnjake, načrtovan</w:t>
            </w:r>
            <w:r w:rsidR="004A0067" w:rsidRPr="00EA590A">
              <w:rPr>
                <w:i w:val="0"/>
                <w:sz w:val="22"/>
              </w:rPr>
              <w:t>o</w:t>
            </w:r>
            <w:r w:rsidRPr="00EA590A">
              <w:rPr>
                <w:i w:val="0"/>
                <w:sz w:val="22"/>
              </w:rPr>
              <w:t xml:space="preserve"> je bilo za vse, ki uporabljajo GIS sistem, a se je spremenila usmeritev in potrebe.</w:t>
            </w:r>
            <w:r w:rsidR="000071B9" w:rsidRPr="00EA590A">
              <w:rPr>
                <w:i w:val="0"/>
                <w:sz w:val="22"/>
              </w:rPr>
              <w:t xml:space="preserve"> </w:t>
            </w:r>
            <w:r w:rsidRPr="00EA590A">
              <w:rPr>
                <w:i w:val="0"/>
                <w:sz w:val="22"/>
              </w:rPr>
              <w:t xml:space="preserve">V primeru operacije Razvoj in izboljšanje analitsko preiskovalnih sistemov za potrebe kazenskega pregona (OSINT) so bila usposabljanja izvedena brez stroškov, zato o njih niso poročali. </w:t>
            </w:r>
          </w:p>
          <w:p w14:paraId="1F29078C" w14:textId="77777777" w:rsidR="000071B9" w:rsidRPr="00EA590A" w:rsidRDefault="000071B9" w:rsidP="000071B9">
            <w:pPr>
              <w:pStyle w:val="Personnequisigne"/>
              <w:jc w:val="both"/>
              <w:rPr>
                <w:i w:val="0"/>
                <w:sz w:val="22"/>
              </w:rPr>
            </w:pPr>
          </w:p>
          <w:p w14:paraId="485BF236" w14:textId="537CCB41" w:rsidR="00EC5A18" w:rsidRPr="00EA590A" w:rsidRDefault="00A27CC8" w:rsidP="00EC5A18">
            <w:pPr>
              <w:pStyle w:val="Personnequisigne"/>
              <w:jc w:val="both"/>
              <w:rPr>
                <w:i w:val="0"/>
                <w:sz w:val="22"/>
              </w:rPr>
            </w:pPr>
            <w:r w:rsidRPr="00EA590A">
              <w:rPr>
                <w:i w:val="0"/>
                <w:sz w:val="22"/>
              </w:rPr>
              <w:t>Največje odstopanje pa je na operaciji Krepitev nacionalne RAN platforme ter mednarodnega sodelovanja za preprečevanje nasilne radikalizacije in terorizma, kjer je bila načrtovana vrednost (4.000-2024, 10.000-2029). Gre za napačno načrtovano vrednost, operacija se je začela izvajati kasneje in tudi zamenjali so cilji in prioritete. Realna dosežena vrednost bo trikrat nižja.</w:t>
            </w:r>
          </w:p>
          <w:p w14:paraId="4C807301" w14:textId="77777777" w:rsidR="00EC5A18" w:rsidRPr="00EA590A" w:rsidRDefault="00EC5A18" w:rsidP="00EC5A18">
            <w:pPr>
              <w:pStyle w:val="Personnequisigne"/>
              <w:jc w:val="both"/>
              <w:rPr>
                <w:i w:val="0"/>
                <w:sz w:val="22"/>
                <w:highlight w:val="yellow"/>
              </w:rPr>
            </w:pPr>
          </w:p>
          <w:p w14:paraId="3CAAFD1E" w14:textId="1BBDFA5B" w:rsidR="000071B9" w:rsidRPr="00EA590A" w:rsidRDefault="00A27CC8" w:rsidP="00B51C03">
            <w:pPr>
              <w:pStyle w:val="Personnequisigne"/>
              <w:jc w:val="both"/>
              <w:rPr>
                <w:i w:val="0"/>
                <w:sz w:val="22"/>
              </w:rPr>
            </w:pPr>
            <w:r w:rsidRPr="00EA590A">
              <w:rPr>
                <w:i w:val="0"/>
                <w:sz w:val="22"/>
              </w:rPr>
              <w:t>O.3.2-Število programov izmenjave/delavnic/študijskih obiskov-</w:t>
            </w:r>
            <w:r w:rsidR="00F21C6F" w:rsidRPr="00EA590A">
              <w:rPr>
                <w:i w:val="0"/>
                <w:sz w:val="22"/>
              </w:rPr>
              <w:t>12</w:t>
            </w:r>
            <w:r w:rsidRPr="00EA590A">
              <w:rPr>
                <w:i w:val="0"/>
                <w:sz w:val="22"/>
              </w:rPr>
              <w:t xml:space="preserve"> (mejnik 2024-47, cilj 2029-187)</w:t>
            </w:r>
            <w:r w:rsidR="000071B9" w:rsidRPr="00EA590A">
              <w:rPr>
                <w:i w:val="0"/>
                <w:sz w:val="22"/>
              </w:rPr>
              <w:t xml:space="preserve">: </w:t>
            </w:r>
            <w:r w:rsidRPr="00EA590A">
              <w:rPr>
                <w:i w:val="0"/>
                <w:sz w:val="22"/>
              </w:rPr>
              <w:t xml:space="preserve">Mejnik (47) ni bil dosežen, tudi cilj ne bo (187). Do nižjih vrednosti prihaja, ker so se operacije začele izvajati kasneje (2023), načrtovana vrednost pa je vključevala 3 leta (Izboljšanje kapacitet za preiskovanje gospodarske kriminalitete ter zaščita finančnih interesov EU in Slovenije; Usposabljanja za krepitev boja proti organiziranemu kriminalu; Učinkovita zaščita prič in žvižgačev) ali ker gre za </w:t>
            </w:r>
            <w:r w:rsidRPr="00EA590A">
              <w:rPr>
                <w:i w:val="0"/>
                <w:sz w:val="22"/>
              </w:rPr>
              <w:lastRenderedPageBreak/>
              <w:t xml:space="preserve">specifično tematiko, za katero težje poiščemo ustrezne kandidate (Vzpostavitev nacionalnih kapacitet na področju </w:t>
            </w:r>
            <w:proofErr w:type="spellStart"/>
            <w:r w:rsidRPr="00EA590A">
              <w:rPr>
                <w:i w:val="0"/>
                <w:sz w:val="22"/>
              </w:rPr>
              <w:t>okoljske</w:t>
            </w:r>
            <w:proofErr w:type="spellEnd"/>
            <w:r w:rsidRPr="00EA590A">
              <w:rPr>
                <w:i w:val="0"/>
                <w:sz w:val="22"/>
              </w:rPr>
              <w:t xml:space="preserve"> kriminalitete) ali zaradi zamude pri nakupu opreme (npr. Izboljšanje kapacitet na področju kibernetske kriminalitete in digitalne </w:t>
            </w:r>
            <w:proofErr w:type="spellStart"/>
            <w:r w:rsidRPr="00EA590A">
              <w:rPr>
                <w:i w:val="0"/>
                <w:sz w:val="22"/>
              </w:rPr>
              <w:t>forenzike</w:t>
            </w:r>
            <w:proofErr w:type="spellEnd"/>
            <w:r w:rsidRPr="00EA590A">
              <w:rPr>
                <w:i w:val="0"/>
                <w:sz w:val="22"/>
              </w:rPr>
              <w:t>) in bodo delavnice izvedene kasneje.</w:t>
            </w:r>
          </w:p>
          <w:p w14:paraId="63B21595" w14:textId="77777777" w:rsidR="00B51C03" w:rsidRPr="00EA590A" w:rsidRDefault="00B51C03" w:rsidP="00B51C03">
            <w:pPr>
              <w:pStyle w:val="Personnequisigne"/>
              <w:jc w:val="both"/>
              <w:rPr>
                <w:i w:val="0"/>
                <w:sz w:val="22"/>
              </w:rPr>
            </w:pPr>
          </w:p>
          <w:p w14:paraId="4E94619B" w14:textId="1B213319" w:rsidR="00A27CC8" w:rsidRPr="00EA590A" w:rsidRDefault="00A27CC8" w:rsidP="00B51C03">
            <w:pPr>
              <w:pStyle w:val="Personnequisigne"/>
              <w:jc w:val="both"/>
              <w:rPr>
                <w:i w:val="0"/>
                <w:sz w:val="22"/>
              </w:rPr>
            </w:pPr>
            <w:r w:rsidRPr="00EA590A">
              <w:rPr>
                <w:i w:val="0"/>
                <w:sz w:val="22"/>
              </w:rPr>
              <w:t>R.3.9</w:t>
            </w:r>
            <w:r w:rsidR="002222BA" w:rsidRPr="00EA590A">
              <w:rPr>
                <w:i w:val="0"/>
                <w:sz w:val="22"/>
              </w:rPr>
              <w:t xml:space="preserve"> o</w:t>
            </w:r>
            <w:r w:rsidRPr="00EA590A">
              <w:rPr>
                <w:i w:val="0"/>
                <w:sz w:val="22"/>
              </w:rPr>
              <w:t xml:space="preserve"> pobud</w:t>
            </w:r>
            <w:r w:rsidR="002222BA" w:rsidRPr="00EA590A">
              <w:rPr>
                <w:i w:val="0"/>
                <w:sz w:val="22"/>
              </w:rPr>
              <w:t>ah</w:t>
            </w:r>
            <w:r w:rsidRPr="00EA590A">
              <w:rPr>
                <w:i w:val="0"/>
                <w:sz w:val="22"/>
              </w:rPr>
              <w:t xml:space="preserve"> za preprečevanje radikalizacije-0 (cilj 2029 – 2)</w:t>
            </w:r>
            <w:r w:rsidR="000071B9" w:rsidRPr="00EA590A">
              <w:rPr>
                <w:i w:val="0"/>
                <w:sz w:val="22"/>
              </w:rPr>
              <w:t xml:space="preserve">: </w:t>
            </w:r>
            <w:r w:rsidRPr="00EA590A">
              <w:rPr>
                <w:i w:val="0"/>
                <w:sz w:val="22"/>
              </w:rPr>
              <w:t>Dosežena vrednost bo 1, saj smo zaradi neizvedljivosti opustili operacijo Razvoj aplikacije za preprečevanje radikalizacije s področja političnega ekstremizma in sredstva usmerili na druge aktivnosti.</w:t>
            </w:r>
            <w:r w:rsidRPr="00EA590A">
              <w:rPr>
                <w:i w:val="0"/>
                <w:sz w:val="22"/>
              </w:rPr>
              <w:tab/>
            </w:r>
          </w:p>
          <w:p w14:paraId="1CD23C8F" w14:textId="77777777" w:rsidR="00B51C03" w:rsidRPr="00EA590A" w:rsidRDefault="00B51C03" w:rsidP="00B51C03">
            <w:pPr>
              <w:pStyle w:val="Personnequisigne"/>
              <w:jc w:val="both"/>
              <w:rPr>
                <w:i w:val="0"/>
                <w:sz w:val="22"/>
              </w:rPr>
            </w:pPr>
          </w:p>
          <w:p w14:paraId="6F45D058" w14:textId="41F2DB42" w:rsidR="00A27CC8" w:rsidRPr="00EA590A" w:rsidRDefault="00A27CC8" w:rsidP="00B51C03">
            <w:pPr>
              <w:pStyle w:val="Personnequisigne"/>
              <w:jc w:val="both"/>
              <w:rPr>
                <w:i w:val="0"/>
                <w:sz w:val="22"/>
              </w:rPr>
            </w:pPr>
            <w:r w:rsidRPr="00EA590A">
              <w:rPr>
                <w:i w:val="0"/>
                <w:sz w:val="22"/>
              </w:rPr>
              <w:t>R.3.10 za zaščito/podporo pričam in žvižgačem-0 (cilj 2029-1)</w:t>
            </w:r>
            <w:r w:rsidR="002222BA" w:rsidRPr="00EA590A">
              <w:rPr>
                <w:i w:val="0"/>
                <w:sz w:val="22"/>
              </w:rPr>
              <w:t xml:space="preserve">. </w:t>
            </w:r>
            <w:r w:rsidRPr="00EA590A">
              <w:rPr>
                <w:i w:val="0"/>
                <w:sz w:val="22"/>
              </w:rPr>
              <w:t>Cilj bo dosežen, gre za poročanje na koncu izvajanja operacije.</w:t>
            </w:r>
            <w:r w:rsidRPr="00EA590A">
              <w:rPr>
                <w:i w:val="0"/>
                <w:sz w:val="22"/>
              </w:rPr>
              <w:tab/>
            </w:r>
          </w:p>
          <w:p w14:paraId="24E867B3" w14:textId="77777777" w:rsidR="00B51C03" w:rsidRPr="00EA590A" w:rsidRDefault="00B51C03" w:rsidP="00B51C03">
            <w:pPr>
              <w:pStyle w:val="Personnequisigne"/>
              <w:jc w:val="both"/>
              <w:rPr>
                <w:i w:val="0"/>
                <w:sz w:val="22"/>
              </w:rPr>
            </w:pPr>
          </w:p>
          <w:p w14:paraId="6E67D1B1" w14:textId="7B34CD7C" w:rsidR="00A27CC8" w:rsidRPr="00EA590A" w:rsidRDefault="00A27CC8" w:rsidP="00B51C03">
            <w:pPr>
              <w:pStyle w:val="Personnequisigne"/>
              <w:jc w:val="both"/>
              <w:rPr>
                <w:i w:val="0"/>
                <w:sz w:val="22"/>
                <w:highlight w:val="yellow"/>
              </w:rPr>
            </w:pPr>
            <w:r w:rsidRPr="00EA590A">
              <w:rPr>
                <w:i w:val="0"/>
                <w:sz w:val="22"/>
              </w:rPr>
              <w:t>O.3.3-Število kupljenih kosov opreme-2</w:t>
            </w:r>
            <w:r w:rsidR="00F21C6F" w:rsidRPr="00EA590A">
              <w:rPr>
                <w:i w:val="0"/>
                <w:sz w:val="22"/>
              </w:rPr>
              <w:t>10</w:t>
            </w:r>
            <w:r w:rsidRPr="00EA590A">
              <w:rPr>
                <w:i w:val="0"/>
                <w:sz w:val="22"/>
              </w:rPr>
              <w:t xml:space="preserve"> (mejnik 2024-824, cilj 2029-1.788)</w:t>
            </w:r>
            <w:r w:rsidR="00EC5A18" w:rsidRPr="00EA590A">
              <w:rPr>
                <w:i w:val="0"/>
                <w:sz w:val="22"/>
              </w:rPr>
              <w:t xml:space="preserve">: </w:t>
            </w:r>
            <w:r w:rsidRPr="00EA590A">
              <w:rPr>
                <w:i w:val="0"/>
                <w:sz w:val="22"/>
              </w:rPr>
              <w:t>Dosežena vrednost je nižja</w:t>
            </w:r>
            <w:r w:rsidR="004A0067" w:rsidRPr="00EA590A">
              <w:rPr>
                <w:i w:val="0"/>
                <w:sz w:val="22"/>
              </w:rPr>
              <w:t>,</w:t>
            </w:r>
            <w:r w:rsidRPr="00EA590A">
              <w:rPr>
                <w:i w:val="0"/>
                <w:sz w:val="22"/>
              </w:rPr>
              <w:t xml:space="preserve"> kot načrtovano. Razlogi so v postopkih javnih naročil (zamude) ali ker so se znižale potrebe (Izboljšanje kapacitet na področju kibernetske kriminalitete in digitalne </w:t>
            </w:r>
            <w:proofErr w:type="spellStart"/>
            <w:r w:rsidRPr="00EA590A">
              <w:rPr>
                <w:i w:val="0"/>
                <w:sz w:val="22"/>
              </w:rPr>
              <w:t>forenzike</w:t>
            </w:r>
            <w:proofErr w:type="spellEnd"/>
            <w:r w:rsidRPr="00EA590A">
              <w:rPr>
                <w:i w:val="0"/>
                <w:sz w:val="22"/>
              </w:rPr>
              <w:t>). Razlog za nižjo vrednost je tudi v spremenjenem načinu štetja (inventarna koda). Do odstopanja prihaja tudi, ker so se zmanjšale potrebe (GIS) ali ker gre za nakup ali najem licenc (ki ne sodijo pod opremo).</w:t>
            </w:r>
          </w:p>
          <w:p w14:paraId="19A31406" w14:textId="06052315" w:rsidR="00A27CC8" w:rsidRPr="00EA590A" w:rsidRDefault="00A27CC8" w:rsidP="00B51C03">
            <w:pPr>
              <w:pStyle w:val="Personnequisigne"/>
              <w:jc w:val="both"/>
              <w:rPr>
                <w:i w:val="0"/>
                <w:sz w:val="22"/>
              </w:rPr>
            </w:pPr>
            <w:r w:rsidRPr="00EA590A">
              <w:rPr>
                <w:i w:val="0"/>
                <w:sz w:val="22"/>
              </w:rPr>
              <w:t>O.3.4-Število kupljenih prevoznih sredstev-1 (mejnik 2024-28, cilj 2029-30)</w:t>
            </w:r>
            <w:r w:rsidR="00EC5A18" w:rsidRPr="00EA590A">
              <w:rPr>
                <w:i w:val="0"/>
                <w:sz w:val="22"/>
              </w:rPr>
              <w:t xml:space="preserve">: </w:t>
            </w:r>
            <w:r w:rsidRPr="00EA590A">
              <w:rPr>
                <w:i w:val="0"/>
                <w:sz w:val="22"/>
              </w:rPr>
              <w:t>Ker so se operacije začele izvajati kasneje, tudi zaradi zamud in daljših postopkov javnih naročil, mejnik ni bil dosežen, vseeno pričakujemo, da cilj bo.</w:t>
            </w:r>
          </w:p>
          <w:p w14:paraId="41368D41" w14:textId="77777777" w:rsidR="00B51C03" w:rsidRPr="00EA590A" w:rsidRDefault="00B51C03" w:rsidP="00B51C03">
            <w:pPr>
              <w:pStyle w:val="Personnequisigne"/>
              <w:jc w:val="both"/>
              <w:rPr>
                <w:i w:val="0"/>
                <w:sz w:val="22"/>
              </w:rPr>
            </w:pPr>
          </w:p>
          <w:p w14:paraId="5B672993" w14:textId="02DF07B0" w:rsidR="00EC5A18" w:rsidRPr="00EA590A" w:rsidRDefault="00A27CC8" w:rsidP="00B51C03">
            <w:pPr>
              <w:pStyle w:val="Personnequisigne"/>
              <w:jc w:val="both"/>
              <w:rPr>
                <w:i w:val="0"/>
                <w:sz w:val="22"/>
              </w:rPr>
            </w:pPr>
            <w:r w:rsidRPr="00EA590A">
              <w:rPr>
                <w:i w:val="0"/>
                <w:sz w:val="22"/>
              </w:rPr>
              <w:t>O.3.5-Število zgrajenih/kupljenih/nadgrajenih elementov infrastrukture/za varnost pomembnih zmogljivosti/orodij/mehanizmov -1 (mejnik 2024-3, cilj 2029-6)</w:t>
            </w:r>
            <w:r w:rsidR="00EC5A18" w:rsidRPr="00EA590A">
              <w:rPr>
                <w:i w:val="0"/>
                <w:sz w:val="22"/>
              </w:rPr>
              <w:t>: Cilj bo dosežen, gre za poročanje na koncu izvedene aktivnosti, vseh načrtovanih 6 operacij, ki vplivajo na vrednost kazalnika, je v izvajanju.</w:t>
            </w:r>
            <w:r w:rsidR="00EC5A18" w:rsidRPr="00EA590A">
              <w:rPr>
                <w:i w:val="0"/>
                <w:sz w:val="22"/>
              </w:rPr>
              <w:tab/>
            </w:r>
          </w:p>
          <w:p w14:paraId="7AC48E23" w14:textId="77777777" w:rsidR="00B51C03" w:rsidRPr="00EA590A" w:rsidRDefault="00B51C03" w:rsidP="00B51C03">
            <w:pPr>
              <w:pStyle w:val="Personnequisigne"/>
              <w:jc w:val="both"/>
              <w:rPr>
                <w:i w:val="0"/>
                <w:sz w:val="22"/>
              </w:rPr>
            </w:pPr>
          </w:p>
          <w:p w14:paraId="2A51D457" w14:textId="64D5D7CC" w:rsidR="00EC5A18" w:rsidRPr="00EA590A" w:rsidRDefault="00EC5A18" w:rsidP="00B51C03">
            <w:pPr>
              <w:pStyle w:val="Personnequisigne"/>
              <w:jc w:val="both"/>
              <w:rPr>
                <w:i w:val="0"/>
                <w:sz w:val="22"/>
              </w:rPr>
            </w:pPr>
            <w:r w:rsidRPr="00EA590A">
              <w:rPr>
                <w:i w:val="0"/>
                <w:sz w:val="22"/>
              </w:rPr>
              <w:t>O.3.6-Število projektov za preprečevanje kriminala-0 (mejnik 2024-0, cilj 2029-15): Cilj bo dosežen, gre za poročanje na koncu izvajanja operacije, vseh načrtovanih 15 operacij je v izvajanju.</w:t>
            </w:r>
            <w:r w:rsidRPr="00EA590A">
              <w:rPr>
                <w:i w:val="0"/>
                <w:sz w:val="22"/>
              </w:rPr>
              <w:tab/>
            </w:r>
            <w:r w:rsidRPr="00EA590A">
              <w:rPr>
                <w:i w:val="0"/>
                <w:sz w:val="22"/>
              </w:rPr>
              <w:tab/>
            </w:r>
          </w:p>
          <w:p w14:paraId="0C2A90FD" w14:textId="33BBFFDD" w:rsidR="00A27CC8" w:rsidRPr="00EA590A" w:rsidRDefault="00EC5A18" w:rsidP="00B51C03">
            <w:pPr>
              <w:pStyle w:val="Personnequisigne"/>
              <w:jc w:val="both"/>
              <w:rPr>
                <w:i w:val="0"/>
                <w:sz w:val="22"/>
              </w:rPr>
            </w:pPr>
            <w:r w:rsidRPr="00EA590A">
              <w:rPr>
                <w:i w:val="0"/>
                <w:sz w:val="22"/>
              </w:rPr>
              <w:t>R.3.11-Število kritičnih infrastruktur/javnih prostorov z novimi/prilagojenimi-0 (cilj 2029-57): Ciljna vrednost kazalnika je določena na podlagi obstoječega števila objektov in planiranih operacij posodobitve infrastrukture na operaciji Usposabljanje za zaščito kritične infrastruktu</w:t>
            </w:r>
            <w:r w:rsidR="00F21C6F" w:rsidRPr="00EA590A">
              <w:rPr>
                <w:i w:val="0"/>
                <w:sz w:val="22"/>
              </w:rPr>
              <w:t>re</w:t>
            </w:r>
            <w:r w:rsidRPr="00EA590A">
              <w:rPr>
                <w:i w:val="0"/>
                <w:sz w:val="22"/>
              </w:rPr>
              <w:t xml:space="preserve">. Upravičenec (Ministrstvo za obrambo) pravi, da se aktivnosti izvajajo po </w:t>
            </w:r>
            <w:proofErr w:type="spellStart"/>
            <w:r w:rsidRPr="00EA590A">
              <w:rPr>
                <w:i w:val="0"/>
                <w:sz w:val="22"/>
              </w:rPr>
              <w:t>časovnici</w:t>
            </w:r>
            <w:proofErr w:type="spellEnd"/>
            <w:r w:rsidRPr="00EA590A">
              <w:rPr>
                <w:i w:val="0"/>
                <w:sz w:val="22"/>
              </w:rPr>
              <w:t>, tako da predvidevamo, da bo cilj dosežen.</w:t>
            </w:r>
          </w:p>
          <w:p w14:paraId="0712D3AA" w14:textId="77777777" w:rsidR="00BC4A4C" w:rsidRPr="00EA590A" w:rsidRDefault="00BC4A4C" w:rsidP="000071B9">
            <w:pPr>
              <w:pStyle w:val="Personnequisigne"/>
              <w:jc w:val="both"/>
              <w:rPr>
                <w:i w:val="0"/>
                <w:sz w:val="22"/>
                <w:highlight w:val="yellow"/>
              </w:rPr>
            </w:pPr>
          </w:p>
          <w:p w14:paraId="6748CA06" w14:textId="69D2B4F7" w:rsidR="008116E1" w:rsidRPr="00EA590A" w:rsidRDefault="008116E1" w:rsidP="000071B9">
            <w:pPr>
              <w:pStyle w:val="Personnequisigne"/>
              <w:jc w:val="both"/>
              <w:rPr>
                <w:i w:val="0"/>
                <w:noProof/>
                <w:sz w:val="22"/>
                <w:highlight w:val="yellow"/>
              </w:rPr>
            </w:pPr>
          </w:p>
        </w:tc>
      </w:tr>
    </w:tbl>
    <w:p w14:paraId="07DD0893" w14:textId="77777777" w:rsidR="006A41E2" w:rsidRPr="00EA590A" w:rsidRDefault="00C30ACF" w:rsidP="00C30ACF">
      <w:pPr>
        <w:pStyle w:val="ManualHeading2"/>
        <w:rPr>
          <w:noProof/>
          <w:sz w:val="22"/>
        </w:rPr>
      </w:pPr>
      <w:r w:rsidRPr="00EA590A">
        <w:rPr>
          <w:sz w:val="22"/>
        </w:rPr>
        <w:t>1.3.</w:t>
      </w:r>
      <w:r w:rsidRPr="00EA590A">
        <w:rPr>
          <w:sz w:val="22"/>
        </w:rPr>
        <w:tab/>
      </w:r>
      <w:r w:rsidR="006A41E2" w:rsidRPr="00EA590A">
        <w:rPr>
          <w:noProof/>
          <w:sz w:val="22"/>
        </w:rPr>
        <w:t>Posebni blažilni ukrepi</w:t>
      </w:r>
    </w:p>
    <w:p w14:paraId="459EA247" w14:textId="77777777" w:rsidR="006A41E2" w:rsidRPr="00EA590A" w:rsidRDefault="006A41E2" w:rsidP="006A41E2">
      <w:pPr>
        <w:rPr>
          <w:noProof/>
          <w:sz w:val="22"/>
        </w:rPr>
      </w:pPr>
      <w:r w:rsidRPr="00EA590A">
        <w:rPr>
          <w:b/>
          <w:noProof/>
          <w:sz w:val="22"/>
        </w:rPr>
        <w:t>Če je ustrezno</w:t>
      </w:r>
      <w:r w:rsidRPr="00EA590A">
        <w:rPr>
          <w:noProof/>
          <w:sz w:val="22"/>
        </w:rPr>
        <w:t xml:space="preserve">, na kratko opišite, kako so dejavnosti programa prispevale k ublažitvi učinkov vseh relevantnih in nenadnih kontekstualnih sprememb, ki so povzročile nepredvidene varnostne grožnje. Kadar koli je mogoče, navedite obseg sredstev, prerazporejenih v ta namen, ter s tem povezane dosežene učinke in rezultate. </w:t>
      </w:r>
    </w:p>
    <w:p w14:paraId="71C46471" w14:textId="77777777" w:rsidR="006A41E2" w:rsidRPr="00EA590A" w:rsidRDefault="000E45B7" w:rsidP="006A41E2">
      <w:pPr>
        <w:rPr>
          <w:noProof/>
          <w:sz w:val="22"/>
        </w:rPr>
      </w:pPr>
      <w:r w:rsidRPr="00EA590A">
        <w:rPr>
          <w:noProof/>
          <w:sz w:val="22"/>
        </w:rPr>
        <w:t>Posebno pozornost namenite dejavnostim, ki se izvajajo za ublažitev nepredvidenih varnostnih groženj in katerih dosežki morda ne bodo v celoti zajeti s skupnimi kazalniki učinka in rezultatov.</w:t>
      </w:r>
    </w:p>
    <w:tbl>
      <w:tblPr>
        <w:tblStyle w:val="Tabelamrea"/>
        <w:tblW w:w="0" w:type="auto"/>
        <w:tblLook w:val="04A0" w:firstRow="1" w:lastRow="0" w:firstColumn="1" w:lastColumn="0" w:noHBand="0" w:noVBand="1"/>
      </w:tblPr>
      <w:tblGrid>
        <w:gridCol w:w="9063"/>
      </w:tblGrid>
      <w:tr w:rsidR="00EA590A" w:rsidRPr="00EA590A" w14:paraId="5296B072" w14:textId="77777777" w:rsidTr="00E45665">
        <w:tc>
          <w:tcPr>
            <w:tcW w:w="9289" w:type="dxa"/>
          </w:tcPr>
          <w:p w14:paraId="164E3D69" w14:textId="4B35B559" w:rsidR="006A41E2" w:rsidRPr="00EA590A" w:rsidRDefault="00F840EF" w:rsidP="00614B4A">
            <w:pPr>
              <w:pStyle w:val="Personnequisigne"/>
              <w:jc w:val="both"/>
              <w:rPr>
                <w:i w:val="0"/>
                <w:noProof/>
                <w:sz w:val="22"/>
              </w:rPr>
            </w:pPr>
            <w:r w:rsidRPr="00EA590A">
              <w:rPr>
                <w:i w:val="0"/>
                <w:noProof/>
                <w:sz w:val="22"/>
              </w:rPr>
              <w:t>Ni bilo nepredvidenih sprememb varnostnih groženj ali omilitvenih ukrepov.</w:t>
            </w:r>
          </w:p>
        </w:tc>
      </w:tr>
    </w:tbl>
    <w:p w14:paraId="79FBF44E" w14:textId="77777777" w:rsidR="006A41E2" w:rsidRPr="00EA590A" w:rsidRDefault="00C30ACF" w:rsidP="00C30ACF">
      <w:pPr>
        <w:pStyle w:val="ManualHeading2"/>
        <w:rPr>
          <w:noProof/>
          <w:sz w:val="22"/>
        </w:rPr>
      </w:pPr>
      <w:r w:rsidRPr="00EA590A">
        <w:rPr>
          <w:sz w:val="22"/>
        </w:rPr>
        <w:t>1.4.</w:t>
      </w:r>
      <w:r w:rsidRPr="00EA590A">
        <w:rPr>
          <w:sz w:val="22"/>
        </w:rPr>
        <w:tab/>
      </w:r>
      <w:r w:rsidR="006A41E2" w:rsidRPr="00EA590A">
        <w:rPr>
          <w:noProof/>
          <w:sz w:val="22"/>
        </w:rPr>
        <w:t>Operativna podpora – člen 16(3) Uredbe (EU) 2021/1149</w:t>
      </w:r>
    </w:p>
    <w:p w14:paraId="51D84DF2" w14:textId="77777777" w:rsidR="006A41E2" w:rsidRPr="00EA590A" w:rsidRDefault="00C62604" w:rsidP="006A41E2">
      <w:pPr>
        <w:rPr>
          <w:noProof/>
          <w:sz w:val="22"/>
        </w:rPr>
      </w:pPr>
      <w:r w:rsidRPr="00EA590A">
        <w:rPr>
          <w:noProof/>
          <w:sz w:val="22"/>
        </w:rPr>
        <w:t>Če je bila med obračunskim letom uporabljena operativna podpora, opišite, kako je prispevala k doseganju ciljev Sklada</w:t>
      </w:r>
      <w:r w:rsidRPr="00EA590A">
        <w:rPr>
          <w:rStyle w:val="Sprotnaopomba-sklic"/>
          <w:noProof/>
          <w:sz w:val="22"/>
        </w:rPr>
        <w:footnoteReference w:id="7"/>
      </w:r>
      <w:r w:rsidRPr="00EA590A">
        <w:rPr>
          <w:noProof/>
          <w:sz w:val="22"/>
        </w:rPr>
        <w:t xml:space="preserve">. </w:t>
      </w:r>
    </w:p>
    <w:p w14:paraId="72330F42" w14:textId="77777777" w:rsidR="006A41E2" w:rsidRPr="00EA590A" w:rsidRDefault="003A30A1" w:rsidP="006A41E2">
      <w:pPr>
        <w:rPr>
          <w:noProof/>
          <w:sz w:val="22"/>
        </w:rPr>
      </w:pPr>
      <w:r w:rsidRPr="00EA590A">
        <w:rPr>
          <w:noProof/>
          <w:sz w:val="22"/>
        </w:rPr>
        <w:t>Če skupni kumulativni upravičeni stroški operativne podpore za operacije, izbrane za podporo, ob koncu obračunskega leta presegajo 20 %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Pr>
      <w:tblGrid>
        <w:gridCol w:w="9063"/>
      </w:tblGrid>
      <w:tr w:rsidR="00EA590A" w:rsidRPr="00EA590A" w14:paraId="633B8A7E" w14:textId="77777777" w:rsidTr="00E45665">
        <w:tc>
          <w:tcPr>
            <w:tcW w:w="9289" w:type="dxa"/>
          </w:tcPr>
          <w:p w14:paraId="2BDD48B8" w14:textId="4627106D" w:rsidR="006A41E2" w:rsidRPr="00EA590A" w:rsidRDefault="007A5907" w:rsidP="00321BDF">
            <w:pPr>
              <w:pStyle w:val="Personnequisigne"/>
              <w:jc w:val="both"/>
              <w:rPr>
                <w:i w:val="0"/>
                <w:noProof/>
                <w:sz w:val="22"/>
              </w:rPr>
            </w:pPr>
            <w:r w:rsidRPr="00EA590A">
              <w:rPr>
                <w:i w:val="0"/>
                <w:noProof/>
                <w:sz w:val="22"/>
              </w:rPr>
              <w:t xml:space="preserve">Slovenija </w:t>
            </w:r>
            <w:r w:rsidR="00E5079D" w:rsidRPr="00EA590A">
              <w:rPr>
                <w:i w:val="0"/>
                <w:noProof/>
                <w:sz w:val="22"/>
              </w:rPr>
              <w:t xml:space="preserve">ima načrtovani dve operaciji operativne podpore (Specifični cilj 1) in sicer »Zagotavljanje nujno potrebne razpoložljivosti delovanja informacijsko telekomunikacijskega sistema« ter »Vzdrževanje omrežnih sistemov«, ki pa se </w:t>
            </w:r>
            <w:r w:rsidRPr="00EA590A">
              <w:rPr>
                <w:i w:val="0"/>
                <w:noProof/>
                <w:sz w:val="22"/>
              </w:rPr>
              <w:t xml:space="preserve">v obračunskem obdobju poročanja </w:t>
            </w:r>
            <w:r w:rsidR="00A51C90" w:rsidRPr="00EA590A">
              <w:rPr>
                <w:i w:val="0"/>
                <w:noProof/>
                <w:sz w:val="22"/>
              </w:rPr>
              <w:t xml:space="preserve">še </w:t>
            </w:r>
            <w:r w:rsidRPr="00EA590A">
              <w:rPr>
                <w:i w:val="0"/>
                <w:noProof/>
                <w:sz w:val="22"/>
              </w:rPr>
              <w:t>ni</w:t>
            </w:r>
            <w:r w:rsidR="00E5079D" w:rsidRPr="00EA590A">
              <w:rPr>
                <w:i w:val="0"/>
                <w:noProof/>
                <w:sz w:val="22"/>
              </w:rPr>
              <w:t>sta izvajal</w:t>
            </w:r>
            <w:r w:rsidR="006A5041" w:rsidRPr="00EA590A">
              <w:rPr>
                <w:i w:val="0"/>
                <w:noProof/>
                <w:sz w:val="22"/>
              </w:rPr>
              <w:t>i</w:t>
            </w:r>
            <w:r w:rsidR="00704C06" w:rsidRPr="00EA590A">
              <w:rPr>
                <w:i w:val="0"/>
                <w:noProof/>
                <w:sz w:val="22"/>
              </w:rPr>
              <w:t xml:space="preserve">, saj sta bili v program dodati z revizijo programa. </w:t>
            </w:r>
            <w:r w:rsidR="00C01218" w:rsidRPr="00EA590A">
              <w:rPr>
                <w:i w:val="0"/>
                <w:noProof/>
                <w:sz w:val="22"/>
              </w:rPr>
              <w:t>Prva operacija, se je začela izvajati februarja 2025</w:t>
            </w:r>
            <w:r w:rsidR="00704C06" w:rsidRPr="00EA590A">
              <w:rPr>
                <w:i w:val="0"/>
                <w:noProof/>
                <w:sz w:val="22"/>
              </w:rPr>
              <w:t xml:space="preserve">, druga pa marca 2025, o tem pa </w:t>
            </w:r>
            <w:r w:rsidR="00C01218" w:rsidRPr="00EA590A">
              <w:rPr>
                <w:i w:val="0"/>
                <w:noProof/>
                <w:sz w:val="22"/>
              </w:rPr>
              <w:t>pravičenec ne poriča o zamudah pri izvajanju</w:t>
            </w:r>
            <w:r w:rsidR="00704C06" w:rsidRPr="00EA590A">
              <w:rPr>
                <w:i w:val="0"/>
                <w:noProof/>
                <w:sz w:val="22"/>
              </w:rPr>
              <w:t xml:space="preserve"> ali o tem, da morda sredstva ne bi bila porabljena.</w:t>
            </w:r>
          </w:p>
        </w:tc>
      </w:tr>
    </w:tbl>
    <w:p w14:paraId="7E3CE0D5" w14:textId="77777777" w:rsidR="006A41E2" w:rsidRPr="00EA590A" w:rsidRDefault="00C30ACF" w:rsidP="00C30ACF">
      <w:pPr>
        <w:pStyle w:val="ManualHeading2"/>
        <w:rPr>
          <w:noProof/>
          <w:sz w:val="22"/>
        </w:rPr>
      </w:pPr>
      <w:r w:rsidRPr="00EA590A">
        <w:rPr>
          <w:sz w:val="22"/>
        </w:rPr>
        <w:t>1.5.</w:t>
      </w:r>
      <w:r w:rsidRPr="00EA590A">
        <w:rPr>
          <w:sz w:val="22"/>
        </w:rPr>
        <w:tab/>
      </w:r>
      <w:r w:rsidR="006A41E2" w:rsidRPr="00EA590A">
        <w:rPr>
          <w:noProof/>
          <w:sz w:val="22"/>
        </w:rPr>
        <w:t>Posebni ukrepi</w:t>
      </w:r>
      <w:r w:rsidR="006A41E2" w:rsidRPr="00EA590A">
        <w:rPr>
          <w:rStyle w:val="Sprotnaopomba-sklic"/>
          <w:noProof/>
          <w:sz w:val="22"/>
        </w:rPr>
        <w:footnoteReference w:id="8"/>
      </w:r>
      <w:r w:rsidR="006A41E2" w:rsidRPr="00EA590A">
        <w:rPr>
          <w:noProof/>
          <w:sz w:val="22"/>
        </w:rPr>
        <w:t xml:space="preserve"> </w:t>
      </w:r>
    </w:p>
    <w:p w14:paraId="008A3C26" w14:textId="77777777" w:rsidR="00EA1A2F" w:rsidRPr="00EA590A" w:rsidRDefault="00EA1A2F" w:rsidP="00EA1A2F">
      <w:pPr>
        <w:rPr>
          <w:noProof/>
          <w:sz w:val="22"/>
        </w:rPr>
      </w:pPr>
      <w:r w:rsidRPr="00EA590A">
        <w:rPr>
          <w:noProof/>
          <w:sz w:val="22"/>
        </w:rPr>
        <w:t>Opišite glavne dosežke vseh posebnih ukrepov, izvedenih med obračunskim letom, ter kako so ti ukrepi prispevali k doseganju ciljev programa in ustvarjanju dodane vrednosti Unije</w:t>
      </w:r>
      <w:r w:rsidRPr="00EA590A">
        <w:rPr>
          <w:rStyle w:val="Sprotnaopomba-sklic"/>
          <w:noProof/>
          <w:sz w:val="22"/>
        </w:rPr>
        <w:footnoteReference w:id="9"/>
      </w:r>
      <w:r w:rsidRPr="00EA590A">
        <w:rPr>
          <w:noProof/>
          <w:sz w:val="22"/>
        </w:rPr>
        <w:t xml:space="preserve">. </w:t>
      </w:r>
    </w:p>
    <w:p w14:paraId="52323F84" w14:textId="77777777" w:rsidR="006A41E2" w:rsidRPr="00EA590A" w:rsidRDefault="00EA1A2F" w:rsidP="00EA1A2F">
      <w:pPr>
        <w:rPr>
          <w:noProof/>
          <w:sz w:val="22"/>
        </w:rPr>
      </w:pPr>
      <w:r w:rsidRPr="00EA590A">
        <w:rPr>
          <w:noProof/>
          <w:sz w:val="22"/>
        </w:rPr>
        <w:t>Opišite, kako so posamezni ukrepi napredovali, tako postopkovno</w:t>
      </w:r>
      <w:r w:rsidRPr="00EA590A">
        <w:rPr>
          <w:rStyle w:val="Sprotnaopomba-sklic"/>
          <w:noProof/>
          <w:sz w:val="22"/>
        </w:rPr>
        <w:footnoteReference w:id="10"/>
      </w:r>
      <w:r w:rsidRPr="00EA590A">
        <w:rPr>
          <w:noProof/>
          <w:sz w:val="22"/>
        </w:rPr>
        <w:t xml:space="preserve"> kot operativno</w:t>
      </w:r>
      <w:r w:rsidRPr="00EA590A">
        <w:rPr>
          <w:rStyle w:val="Sprotnaopomba-sklic"/>
          <w:noProof/>
          <w:sz w:val="22"/>
        </w:rPr>
        <w:footnoteReference w:id="11"/>
      </w:r>
      <w:r w:rsidRPr="00EA590A">
        <w:rPr>
          <w:noProof/>
          <w:sz w:val="22"/>
        </w:rPr>
        <w:t>, in izpostavite morebitna vprašanja, ki vplivajo na njihovo uspešnost, zlasti morebitno tveganje premajhne porabe.</w:t>
      </w:r>
    </w:p>
    <w:p w14:paraId="6CBB9041" w14:textId="77777777" w:rsidR="006A41E2" w:rsidRPr="00EA590A" w:rsidRDefault="006A41E2" w:rsidP="006A41E2">
      <w:pPr>
        <w:rPr>
          <w:noProof/>
          <w:sz w:val="22"/>
        </w:rPr>
      </w:pPr>
      <w:r w:rsidRPr="00EA590A">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EA590A" w:rsidRPr="00EA590A" w14:paraId="4D78EBC7" w14:textId="77777777" w:rsidTr="00797712">
        <w:trPr>
          <w:trHeight w:val="1832"/>
        </w:trPr>
        <w:tc>
          <w:tcPr>
            <w:tcW w:w="9289" w:type="dxa"/>
          </w:tcPr>
          <w:p w14:paraId="2809BA6E" w14:textId="13FE24F6" w:rsidR="00C538EE" w:rsidRPr="00EA590A" w:rsidRDefault="007A5907" w:rsidP="00227FE7">
            <w:pPr>
              <w:pStyle w:val="Personnequisigne"/>
              <w:jc w:val="both"/>
              <w:rPr>
                <w:i w:val="0"/>
                <w:noProof/>
                <w:sz w:val="22"/>
              </w:rPr>
            </w:pPr>
            <w:r w:rsidRPr="00EA590A">
              <w:rPr>
                <w:i w:val="0"/>
                <w:noProof/>
                <w:sz w:val="22"/>
              </w:rPr>
              <w:t xml:space="preserve">Slovenija </w:t>
            </w:r>
            <w:r w:rsidR="00DC49C4" w:rsidRPr="00EA590A">
              <w:rPr>
                <w:i w:val="0"/>
                <w:noProof/>
                <w:sz w:val="22"/>
              </w:rPr>
              <w:t xml:space="preserve">je </w:t>
            </w:r>
            <w:r w:rsidRPr="00EA590A">
              <w:rPr>
                <w:i w:val="0"/>
                <w:noProof/>
                <w:sz w:val="22"/>
              </w:rPr>
              <w:t xml:space="preserve">v obračunskem obdobju poročanja </w:t>
            </w:r>
            <w:r w:rsidR="00B36705" w:rsidRPr="00EA590A">
              <w:rPr>
                <w:i w:val="0"/>
                <w:noProof/>
                <w:sz w:val="22"/>
              </w:rPr>
              <w:t>sodelovala v evropski operativni</w:t>
            </w:r>
            <w:r w:rsidR="00DC49C4" w:rsidRPr="00EA590A">
              <w:rPr>
                <w:i w:val="0"/>
                <w:noProof/>
                <w:sz w:val="22"/>
              </w:rPr>
              <w:t xml:space="preserve"> </w:t>
            </w:r>
            <w:r w:rsidR="00B36705" w:rsidRPr="00EA590A">
              <w:rPr>
                <w:i w:val="0"/>
                <w:noProof/>
                <w:sz w:val="22"/>
              </w:rPr>
              <w:t>skupini</w:t>
            </w:r>
            <w:r w:rsidR="00DC49C4" w:rsidRPr="00EA590A">
              <w:rPr>
                <w:i w:val="0"/>
                <w:noProof/>
                <w:sz w:val="22"/>
              </w:rPr>
              <w:t xml:space="preserve"> (EOT) v španski regiji Costa del Sol za odkrivanje in preiskovanje organiziranih kriminalnih združb in storilcev kaznivih - tarč visoke vrednosti (HVT), ki ogrožajo varnost in blaginjo EU</w:t>
            </w:r>
            <w:r w:rsidR="00227FE7" w:rsidRPr="00EA590A">
              <w:rPr>
                <w:i w:val="0"/>
                <w:noProof/>
                <w:sz w:val="22"/>
              </w:rPr>
              <w:t>, v sklopu operacije odobrene na podlagi poziva</w:t>
            </w:r>
            <w:r w:rsidR="00227FE7" w:rsidRPr="00EA590A">
              <w:rPr>
                <w:sz w:val="22"/>
              </w:rPr>
              <w:t xml:space="preserve"> ISF/2022/SA/2.2.1 - poseben ukrep  -  EMPACT.</w:t>
            </w:r>
            <w:r w:rsidR="0045095F" w:rsidRPr="00EA590A">
              <w:rPr>
                <w:sz w:val="22"/>
              </w:rPr>
              <w:t xml:space="preserve"> </w:t>
            </w:r>
            <w:r w:rsidR="0045095F" w:rsidRPr="00EA590A">
              <w:rPr>
                <w:i w:val="0"/>
                <w:noProof/>
                <w:sz w:val="22"/>
              </w:rPr>
              <w:t>G</w:t>
            </w:r>
            <w:r w:rsidR="00E51586" w:rsidRPr="00EA590A">
              <w:rPr>
                <w:i w:val="0"/>
                <w:noProof/>
                <w:sz w:val="22"/>
              </w:rPr>
              <w:t>re za uspešno sodel</w:t>
            </w:r>
            <w:r w:rsidR="0045095F" w:rsidRPr="00EA590A">
              <w:rPr>
                <w:i w:val="0"/>
                <w:noProof/>
                <w:sz w:val="22"/>
              </w:rPr>
              <w:t>ovanje, saj je d</w:t>
            </w:r>
            <w:r w:rsidR="00B36705" w:rsidRPr="00EA590A">
              <w:rPr>
                <w:i w:val="0"/>
                <w:noProof/>
                <w:sz w:val="22"/>
              </w:rPr>
              <w:t>osežen</w:t>
            </w:r>
            <w:r w:rsidR="0045095F" w:rsidRPr="00EA590A">
              <w:rPr>
                <w:i w:val="0"/>
                <w:noProof/>
                <w:sz w:val="22"/>
              </w:rPr>
              <w:t xml:space="preserve">a </w:t>
            </w:r>
            <w:r w:rsidR="00B36705" w:rsidRPr="00EA590A">
              <w:rPr>
                <w:i w:val="0"/>
                <w:noProof/>
                <w:sz w:val="22"/>
              </w:rPr>
              <w:t>krepitev čezmejnega sodelovanja med pristojnimi organi za boj proti hudim in organiziranim oblikam kriminalitete, kar prispeva</w:t>
            </w:r>
            <w:r w:rsidR="00DC49C4" w:rsidRPr="00EA590A">
              <w:rPr>
                <w:i w:val="0"/>
                <w:noProof/>
                <w:sz w:val="22"/>
              </w:rPr>
              <w:t xml:space="preserve"> k doseganju ciljev programa SNV in ustvarjanju dodane vrednosti </w:t>
            </w:r>
            <w:r w:rsidR="00A2095C" w:rsidRPr="00EA590A">
              <w:rPr>
                <w:i w:val="0"/>
                <w:noProof/>
                <w:sz w:val="22"/>
              </w:rPr>
              <w:t>EU</w:t>
            </w:r>
            <w:r w:rsidR="00DC49C4" w:rsidRPr="00EA590A">
              <w:rPr>
                <w:i w:val="0"/>
                <w:noProof/>
                <w:sz w:val="22"/>
              </w:rPr>
              <w:t>.</w:t>
            </w:r>
            <w:r w:rsidR="003021FB" w:rsidRPr="00EA590A">
              <w:rPr>
                <w:i w:val="0"/>
                <w:noProof/>
                <w:sz w:val="22"/>
              </w:rPr>
              <w:t xml:space="preserve"> </w:t>
            </w:r>
            <w:r w:rsidR="0093761D" w:rsidRPr="00EA590A">
              <w:rPr>
                <w:i w:val="0"/>
                <w:noProof/>
                <w:sz w:val="22"/>
              </w:rPr>
              <w:t>V obdobju poročanja upravičenec za navedeno operacijo, še ni zahteval povračila stroškov.</w:t>
            </w:r>
          </w:p>
          <w:p w14:paraId="30EB31BA" w14:textId="77777777" w:rsidR="00C538EE" w:rsidRPr="00EA590A" w:rsidRDefault="00C538EE" w:rsidP="00227FE7">
            <w:pPr>
              <w:pStyle w:val="Personnequisigne"/>
              <w:jc w:val="both"/>
              <w:rPr>
                <w:i w:val="0"/>
                <w:noProof/>
                <w:sz w:val="22"/>
              </w:rPr>
            </w:pPr>
          </w:p>
          <w:p w14:paraId="729A0918" w14:textId="29728929" w:rsidR="00227FE7" w:rsidRPr="00EA590A" w:rsidRDefault="0093761D" w:rsidP="00227FE7">
            <w:pPr>
              <w:pStyle w:val="Personnequisigne"/>
              <w:jc w:val="both"/>
              <w:rPr>
                <w:i w:val="0"/>
                <w:noProof/>
                <w:sz w:val="22"/>
              </w:rPr>
            </w:pPr>
            <w:r w:rsidRPr="00EA590A">
              <w:rPr>
                <w:i w:val="0"/>
                <w:iCs/>
                <w:sz w:val="22"/>
              </w:rPr>
              <w:t>Slovenski predstavnik je aktivno sodeloval pri operativnem delu, posredoval pomembne informacije in sodeloval pri iskanju ter prijetju iskanih oseb. Slovenija še naprej sodeluje v EOT, izmenjuje obveščevalne podatke in usklajuje operativne aktivnosti.</w:t>
            </w:r>
          </w:p>
          <w:p w14:paraId="1A5BC4BF" w14:textId="77777777" w:rsidR="00227FE7" w:rsidRPr="00EA590A" w:rsidRDefault="00227FE7" w:rsidP="00227FE7">
            <w:pPr>
              <w:pStyle w:val="Personnequisigne"/>
              <w:jc w:val="both"/>
              <w:rPr>
                <w:i w:val="0"/>
                <w:noProof/>
                <w:sz w:val="22"/>
              </w:rPr>
            </w:pPr>
          </w:p>
          <w:p w14:paraId="61FE5C18" w14:textId="5FE515C0" w:rsidR="005F3FCA" w:rsidRPr="00EA590A" w:rsidRDefault="00E51586" w:rsidP="005F3FCA">
            <w:pPr>
              <w:pStyle w:val="Personnequisigne"/>
              <w:jc w:val="both"/>
              <w:rPr>
                <w:i w:val="0"/>
                <w:sz w:val="22"/>
              </w:rPr>
            </w:pPr>
            <w:r w:rsidRPr="00EA590A">
              <w:rPr>
                <w:i w:val="0"/>
                <w:sz w:val="22"/>
              </w:rPr>
              <w:t>V okviru projekta</w:t>
            </w:r>
            <w:r w:rsidR="0045095F" w:rsidRPr="00EA590A">
              <w:rPr>
                <w:i w:val="0"/>
                <w:sz w:val="22"/>
              </w:rPr>
              <w:t xml:space="preserve"> je Slovenija</w:t>
            </w:r>
            <w:r w:rsidR="00227FE7" w:rsidRPr="00EA590A">
              <w:rPr>
                <w:i w:val="0"/>
                <w:sz w:val="22"/>
              </w:rPr>
              <w:t xml:space="preserve"> kot sodelujoča država upravičena </w:t>
            </w:r>
            <w:r w:rsidR="00336B99" w:rsidRPr="00EA590A">
              <w:rPr>
                <w:i w:val="0"/>
                <w:sz w:val="22"/>
              </w:rPr>
              <w:t xml:space="preserve">do 60.000 EUR za 12 mesecev </w:t>
            </w:r>
            <w:r w:rsidR="00227FE7" w:rsidRPr="00EA590A">
              <w:rPr>
                <w:i w:val="0"/>
                <w:sz w:val="22"/>
              </w:rPr>
              <w:t>za kritje</w:t>
            </w:r>
            <w:r w:rsidR="00336B99" w:rsidRPr="00EA590A">
              <w:rPr>
                <w:i w:val="0"/>
                <w:sz w:val="22"/>
              </w:rPr>
              <w:t xml:space="preserve"> stroškov napotene osebe</w:t>
            </w:r>
            <w:r w:rsidR="00227FE7" w:rsidRPr="00EA590A">
              <w:rPr>
                <w:i w:val="0"/>
                <w:sz w:val="22"/>
              </w:rPr>
              <w:t xml:space="preserve"> v EOT v </w:t>
            </w:r>
            <w:proofErr w:type="spellStart"/>
            <w:r w:rsidR="00227FE7" w:rsidRPr="00EA590A">
              <w:rPr>
                <w:i w:val="0"/>
                <w:sz w:val="22"/>
              </w:rPr>
              <w:t>Marbello</w:t>
            </w:r>
            <w:proofErr w:type="spellEnd"/>
            <w:r w:rsidR="00227FE7" w:rsidRPr="00EA590A">
              <w:rPr>
                <w:i w:val="0"/>
                <w:sz w:val="22"/>
              </w:rPr>
              <w:t xml:space="preserve"> – Španijo, kot je to določeno v dokumentu pristojnosti in nalog ter pravil delovanja skupine EOT</w:t>
            </w:r>
            <w:r w:rsidR="00336B99" w:rsidRPr="00EA590A">
              <w:rPr>
                <w:i w:val="0"/>
                <w:sz w:val="22"/>
              </w:rPr>
              <w:t xml:space="preserve"> (TOR)</w:t>
            </w:r>
            <w:r w:rsidRPr="00EA590A">
              <w:rPr>
                <w:i w:val="0"/>
                <w:sz w:val="22"/>
              </w:rPr>
              <w:t>,</w:t>
            </w:r>
            <w:r w:rsidR="00E47AD1" w:rsidRPr="00EA590A">
              <w:rPr>
                <w:i w:val="0"/>
                <w:sz w:val="22"/>
              </w:rPr>
              <w:t xml:space="preserve"> </w:t>
            </w:r>
            <w:r w:rsidRPr="00EA590A">
              <w:rPr>
                <w:i w:val="0"/>
                <w:sz w:val="22"/>
              </w:rPr>
              <w:t>a</w:t>
            </w:r>
            <w:r w:rsidR="00336B99" w:rsidRPr="00EA590A">
              <w:rPr>
                <w:i w:val="0"/>
                <w:sz w:val="22"/>
              </w:rPr>
              <w:t xml:space="preserve"> ugotavljamo, da sredstva </w:t>
            </w:r>
            <w:r w:rsidRPr="00EA590A">
              <w:rPr>
                <w:i w:val="0"/>
                <w:sz w:val="22"/>
              </w:rPr>
              <w:t xml:space="preserve">ne bodo </w:t>
            </w:r>
            <w:r w:rsidR="00336B99" w:rsidRPr="00EA590A">
              <w:rPr>
                <w:i w:val="0"/>
                <w:sz w:val="22"/>
              </w:rPr>
              <w:t>v celoti porabljena.</w:t>
            </w:r>
            <w:r w:rsidR="00227FE7" w:rsidRPr="00EA590A">
              <w:rPr>
                <w:i w:val="0"/>
                <w:sz w:val="22"/>
              </w:rPr>
              <w:t xml:space="preserve"> </w:t>
            </w:r>
            <w:r w:rsidR="0045095F" w:rsidRPr="00EA590A">
              <w:rPr>
                <w:i w:val="0"/>
                <w:sz w:val="22"/>
              </w:rPr>
              <w:t xml:space="preserve">Ker so sredstva za posebni ukrep dodeljena neposredno Sloveniji, mora le-ta pri izvajanju operacije upoštevati nacionalno zakonodajo in </w:t>
            </w:r>
            <w:r w:rsidR="00227FE7" w:rsidRPr="00EA590A">
              <w:rPr>
                <w:i w:val="0"/>
                <w:sz w:val="22"/>
              </w:rPr>
              <w:t>»Nacionalna pravila upravičenosti za črpanje sredstev programa Sklada za azil, migracije in vključevanje, programa Sklada za notranjo varnost ter programa Instrumenta za finančno podporo za upravljanje meja in vizumsko politiko v okviru Sklada za int</w:t>
            </w:r>
            <w:r w:rsidR="009D21C4" w:rsidRPr="00EA590A">
              <w:rPr>
                <w:i w:val="0"/>
                <w:sz w:val="22"/>
              </w:rPr>
              <w:t>e</w:t>
            </w:r>
            <w:r w:rsidR="00227FE7" w:rsidRPr="00EA590A">
              <w:rPr>
                <w:i w:val="0"/>
                <w:sz w:val="22"/>
              </w:rPr>
              <w:t>grirano upravljanje meja v programskem obdobju 2021-2027«.</w:t>
            </w:r>
            <w:r w:rsidR="00336B99" w:rsidRPr="00EA590A">
              <w:rPr>
                <w:i w:val="0"/>
                <w:sz w:val="22"/>
              </w:rPr>
              <w:t xml:space="preserve"> </w:t>
            </w:r>
            <w:r w:rsidR="0045095F" w:rsidRPr="00EA590A">
              <w:rPr>
                <w:i w:val="0"/>
                <w:sz w:val="22"/>
              </w:rPr>
              <w:t>Skladno s tem gre u</w:t>
            </w:r>
            <w:r w:rsidR="00BA71EA" w:rsidRPr="00EA590A">
              <w:rPr>
                <w:i w:val="0"/>
                <w:sz w:val="22"/>
              </w:rPr>
              <w:t xml:space="preserve">gotoviti, da </w:t>
            </w:r>
            <w:r w:rsidR="00227FE7" w:rsidRPr="00EA590A">
              <w:rPr>
                <w:i w:val="0"/>
                <w:sz w:val="22"/>
              </w:rPr>
              <w:t xml:space="preserve">nacionalni predpisi ne dajejo podlage za </w:t>
            </w:r>
            <w:r w:rsidRPr="00EA590A">
              <w:rPr>
                <w:i w:val="0"/>
                <w:sz w:val="22"/>
              </w:rPr>
              <w:t>načrtovana</w:t>
            </w:r>
            <w:r w:rsidR="00227FE7" w:rsidRPr="00EA590A">
              <w:rPr>
                <w:i w:val="0"/>
                <w:sz w:val="22"/>
              </w:rPr>
              <w:t xml:space="preserve"> izplačila stroškov v obliki pavšalnega povračila</w:t>
            </w:r>
            <w:r w:rsidR="00336B99" w:rsidRPr="00EA590A">
              <w:rPr>
                <w:i w:val="0"/>
                <w:sz w:val="22"/>
              </w:rPr>
              <w:t xml:space="preserve"> (5</w:t>
            </w:r>
            <w:r w:rsidR="00E47AD1" w:rsidRPr="00EA590A">
              <w:rPr>
                <w:i w:val="0"/>
                <w:sz w:val="22"/>
              </w:rPr>
              <w:t>.</w:t>
            </w:r>
            <w:r w:rsidR="00336B99" w:rsidRPr="00EA590A">
              <w:rPr>
                <w:i w:val="0"/>
                <w:sz w:val="22"/>
              </w:rPr>
              <w:t xml:space="preserve">000 </w:t>
            </w:r>
            <w:r w:rsidRPr="00EA590A">
              <w:rPr>
                <w:i w:val="0"/>
                <w:sz w:val="22"/>
              </w:rPr>
              <w:t>EUR</w:t>
            </w:r>
            <w:r w:rsidR="00336B99" w:rsidRPr="00EA590A">
              <w:rPr>
                <w:i w:val="0"/>
                <w:sz w:val="22"/>
              </w:rPr>
              <w:t xml:space="preserve"> na mesec)</w:t>
            </w:r>
            <w:r w:rsidR="00227FE7" w:rsidRPr="00EA590A">
              <w:rPr>
                <w:i w:val="0"/>
                <w:sz w:val="22"/>
              </w:rPr>
              <w:t>, ampak se dejanski stroški povrnejo zgo</w:t>
            </w:r>
            <w:r w:rsidRPr="00EA590A">
              <w:rPr>
                <w:i w:val="0"/>
                <w:sz w:val="22"/>
              </w:rPr>
              <w:t xml:space="preserve">lj na podlagi ustreznih dokazil. </w:t>
            </w:r>
            <w:r w:rsidR="00BA71EA" w:rsidRPr="00EA590A">
              <w:rPr>
                <w:i w:val="0"/>
                <w:sz w:val="22"/>
              </w:rPr>
              <w:t>To pomeni, da lahko pričakujemo, k</w:t>
            </w:r>
            <w:r w:rsidR="00336B99" w:rsidRPr="00EA590A">
              <w:rPr>
                <w:i w:val="0"/>
                <w:sz w:val="22"/>
              </w:rPr>
              <w:t>ljub uspešno izvedeni operaciji in</w:t>
            </w:r>
            <w:r w:rsidR="00E47AD1" w:rsidRPr="00EA590A">
              <w:rPr>
                <w:i w:val="0"/>
                <w:sz w:val="22"/>
              </w:rPr>
              <w:t xml:space="preserve"> doseženim ciljem</w:t>
            </w:r>
            <w:r w:rsidR="00BA71EA" w:rsidRPr="00EA590A">
              <w:rPr>
                <w:i w:val="0"/>
                <w:sz w:val="22"/>
              </w:rPr>
              <w:t xml:space="preserve">, nižje </w:t>
            </w:r>
            <w:r w:rsidR="00336B99" w:rsidRPr="00EA590A">
              <w:rPr>
                <w:i w:val="0"/>
                <w:sz w:val="22"/>
              </w:rPr>
              <w:t>povračilo stroškov.</w:t>
            </w:r>
          </w:p>
          <w:p w14:paraId="404DBE40" w14:textId="77777777" w:rsidR="005F3FCA" w:rsidRPr="00EA590A" w:rsidRDefault="005F3FCA" w:rsidP="005F3FCA">
            <w:pPr>
              <w:pStyle w:val="Personnequisigne"/>
              <w:jc w:val="both"/>
              <w:rPr>
                <w:sz w:val="22"/>
              </w:rPr>
            </w:pPr>
          </w:p>
          <w:p w14:paraId="14ACFD19" w14:textId="3E685BC1" w:rsidR="008F060D" w:rsidRPr="00EA590A" w:rsidRDefault="005F3FCA" w:rsidP="008F060D">
            <w:pPr>
              <w:pStyle w:val="Personnequisigne"/>
              <w:jc w:val="both"/>
              <w:rPr>
                <w:i w:val="0"/>
                <w:iCs/>
                <w:sz w:val="22"/>
              </w:rPr>
            </w:pPr>
            <w:r w:rsidRPr="00EA590A">
              <w:rPr>
                <w:i w:val="0"/>
                <w:iCs/>
                <w:sz w:val="22"/>
              </w:rPr>
              <w:t xml:space="preserve">Izvajanje operacije je pokazalo, da je vključevanje slovenskih predstavnikov v mednarodne operativne skupine, kot je EOT, zelo učinkovito z vidika dostopa do informacij, hitrejše izmenjave obveščevalnih podatkov ter neposrednega sodelovanja pri operativnih aktivnostih. Hkrati pa so se pokazale določene omejitve pri financiranju, </w:t>
            </w:r>
            <w:r w:rsidR="008F060D" w:rsidRPr="00EA590A">
              <w:rPr>
                <w:i w:val="0"/>
                <w:iCs/>
                <w:sz w:val="22"/>
              </w:rPr>
              <w:t xml:space="preserve">kar je </w:t>
            </w:r>
            <w:r w:rsidRPr="00EA590A">
              <w:rPr>
                <w:i w:val="0"/>
                <w:iCs/>
                <w:sz w:val="22"/>
              </w:rPr>
              <w:t>vpliva</w:t>
            </w:r>
            <w:r w:rsidR="008F060D" w:rsidRPr="00EA590A">
              <w:rPr>
                <w:i w:val="0"/>
                <w:iCs/>
                <w:sz w:val="22"/>
              </w:rPr>
              <w:t>lo</w:t>
            </w:r>
            <w:r w:rsidRPr="00EA590A">
              <w:rPr>
                <w:i w:val="0"/>
                <w:iCs/>
                <w:sz w:val="22"/>
              </w:rPr>
              <w:t xml:space="preserve"> na koriščenje dodeljenih sredstev</w:t>
            </w:r>
            <w:r w:rsidR="008F060D" w:rsidRPr="00EA590A">
              <w:rPr>
                <w:i w:val="0"/>
                <w:iCs/>
                <w:sz w:val="22"/>
              </w:rPr>
              <w:t xml:space="preserve">. </w:t>
            </w:r>
            <w:r w:rsidRPr="00EA590A">
              <w:rPr>
                <w:i w:val="0"/>
                <w:iCs/>
                <w:sz w:val="22"/>
              </w:rPr>
              <w:t xml:space="preserve">Za prihodnje operacije bi bilo </w:t>
            </w:r>
            <w:r w:rsidR="008F060D" w:rsidRPr="00EA590A">
              <w:rPr>
                <w:i w:val="0"/>
                <w:iCs/>
                <w:sz w:val="22"/>
              </w:rPr>
              <w:t xml:space="preserve">bolj </w:t>
            </w:r>
            <w:proofErr w:type="spellStart"/>
            <w:r w:rsidR="008F060D" w:rsidRPr="00EA590A">
              <w:rPr>
                <w:i w:val="0"/>
                <w:iCs/>
                <w:sz w:val="22"/>
              </w:rPr>
              <w:t>smsielno</w:t>
            </w:r>
            <w:proofErr w:type="spellEnd"/>
            <w:r w:rsidR="008F060D" w:rsidRPr="00EA590A">
              <w:rPr>
                <w:i w:val="0"/>
                <w:iCs/>
                <w:sz w:val="22"/>
              </w:rPr>
              <w:t xml:space="preserve"> z </w:t>
            </w:r>
            <w:proofErr w:type="spellStart"/>
            <w:r w:rsidR="008F060D" w:rsidRPr="00EA590A">
              <w:rPr>
                <w:i w:val="0"/>
                <w:iCs/>
                <w:sz w:val="22"/>
              </w:rPr>
              <w:t>vidka</w:t>
            </w:r>
            <w:proofErr w:type="spellEnd"/>
            <w:r w:rsidR="008F060D" w:rsidRPr="00EA590A">
              <w:rPr>
                <w:i w:val="0"/>
                <w:iCs/>
                <w:sz w:val="22"/>
              </w:rPr>
              <w:t>, da so vsi napoteni obravnava</w:t>
            </w:r>
            <w:r w:rsidR="00B422D7" w:rsidRPr="00EA590A">
              <w:rPr>
                <w:i w:val="0"/>
                <w:iCs/>
                <w:sz w:val="22"/>
              </w:rPr>
              <w:t>n</w:t>
            </w:r>
            <w:r w:rsidR="008F060D" w:rsidRPr="00EA590A">
              <w:rPr>
                <w:i w:val="0"/>
                <w:iCs/>
                <w:sz w:val="22"/>
              </w:rPr>
              <w:t>i enako, da se sredstva dodeli prijavi</w:t>
            </w:r>
            <w:r w:rsidR="003B1061" w:rsidRPr="00EA590A">
              <w:rPr>
                <w:i w:val="0"/>
                <w:iCs/>
                <w:sz w:val="22"/>
              </w:rPr>
              <w:t>t</w:t>
            </w:r>
            <w:r w:rsidR="008F060D" w:rsidRPr="00EA590A">
              <w:rPr>
                <w:i w:val="0"/>
                <w:iCs/>
                <w:sz w:val="22"/>
              </w:rPr>
              <w:t>elju in ne vse</w:t>
            </w:r>
            <w:r w:rsidR="003B1061" w:rsidRPr="00EA590A">
              <w:rPr>
                <w:i w:val="0"/>
                <w:iCs/>
                <w:sz w:val="22"/>
              </w:rPr>
              <w:t xml:space="preserve">m </w:t>
            </w:r>
            <w:r w:rsidR="008F060D" w:rsidRPr="00EA590A">
              <w:rPr>
                <w:i w:val="0"/>
                <w:iCs/>
                <w:sz w:val="22"/>
              </w:rPr>
              <w:t>sodelujočim</w:t>
            </w:r>
            <w:r w:rsidR="003B1061" w:rsidRPr="00EA590A">
              <w:rPr>
                <w:i w:val="0"/>
                <w:iCs/>
                <w:sz w:val="22"/>
              </w:rPr>
              <w:t xml:space="preserve"> državam</w:t>
            </w:r>
            <w:r w:rsidR="008F060D" w:rsidRPr="00EA590A">
              <w:rPr>
                <w:i w:val="0"/>
                <w:iCs/>
                <w:sz w:val="22"/>
              </w:rPr>
              <w:t xml:space="preserve">. </w:t>
            </w:r>
          </w:p>
          <w:p w14:paraId="175B4659" w14:textId="77777777" w:rsidR="008F060D" w:rsidRPr="00EA590A" w:rsidRDefault="008F060D" w:rsidP="008F060D">
            <w:pPr>
              <w:pStyle w:val="Personnequisigne"/>
              <w:jc w:val="both"/>
              <w:rPr>
                <w:i w:val="0"/>
                <w:iCs/>
                <w:sz w:val="22"/>
              </w:rPr>
            </w:pPr>
          </w:p>
          <w:p w14:paraId="4D97A3EF" w14:textId="4DBF0BFB" w:rsidR="005F3FCA" w:rsidRPr="00EA590A" w:rsidRDefault="005F3FCA" w:rsidP="008F060D">
            <w:pPr>
              <w:pStyle w:val="Personnequisigne"/>
              <w:jc w:val="both"/>
              <w:rPr>
                <w:i w:val="0"/>
                <w:sz w:val="22"/>
              </w:rPr>
            </w:pPr>
            <w:r w:rsidRPr="00EA590A">
              <w:rPr>
                <w:i w:val="0"/>
                <w:iCs/>
                <w:sz w:val="22"/>
              </w:rPr>
              <w:t xml:space="preserve">Sodelovanje Slovenije v evropski operativni skupini (EOT) v okviru EMPACT predstavlja jasno dodano vrednost EU, saj omogoča neposredno, usklajeno in ciljno usmerjeno delovanje držav članic proti hudim in organiziranim oblikam kriminalitete ter tarčam visoke vrednosti (HVT). Takšne operacije presegajo zmožnosti posamezne države, saj temeljijo na čezmejni izmenjavi podatkov, skupnem operativnem načrtovanju in usklajenem ukrepanju na terenu. Aktivna vloga slovenskega predstavnika, vključno s posredovanjem informacij ter sodelovanjem pri identifikaciji in prijetju storilcev, prispeva k večji varnosti celotnega območja EU. Hkrati sodelovanje krepi medsebojno zaupanje, interoperabilnost in dolgoročne operativne povezave med organi pregona, kar pomembno prispeva k uresničevanju ciljev programa SNV in širše varnostne politike </w:t>
            </w:r>
            <w:r w:rsidR="00A2095C" w:rsidRPr="00EA590A">
              <w:rPr>
                <w:i w:val="0"/>
                <w:iCs/>
                <w:sz w:val="22"/>
              </w:rPr>
              <w:t>EU</w:t>
            </w:r>
            <w:r w:rsidRPr="00EA590A">
              <w:rPr>
                <w:i w:val="0"/>
                <w:iCs/>
                <w:sz w:val="22"/>
              </w:rPr>
              <w:t>.</w:t>
            </w:r>
          </w:p>
        </w:tc>
      </w:tr>
    </w:tbl>
    <w:p w14:paraId="32FA16F9" w14:textId="77777777" w:rsidR="006A41E2" w:rsidRPr="00EA590A" w:rsidRDefault="00544E72" w:rsidP="00930AD9">
      <w:pPr>
        <w:rPr>
          <w:noProof/>
          <w:sz w:val="22"/>
        </w:rPr>
      </w:pPr>
      <w:r w:rsidRPr="00EA590A">
        <w:rPr>
          <w:noProof/>
          <w:sz w:val="22"/>
        </w:rPr>
        <w:t>V spodnjo preglednico vpišite podrobnosti o vseh posebnih nacionalnih ukrepih, ki se izvajajo v okviru programa. Poročanje o posebnih nadnacionalnih ukrepih bi moralo biti skladno z izbrano možnostjo poročanja</w:t>
      </w:r>
      <w:r w:rsidRPr="00EA590A">
        <w:rPr>
          <w:rStyle w:val="Sprotnaopomba-sklic"/>
          <w:noProof/>
          <w:sz w:val="22"/>
        </w:rPr>
        <w:footnoteReference w:id="12"/>
      </w:r>
      <w:r w:rsidRPr="00EA590A">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Pr>
      <w:tblGrid>
        <w:gridCol w:w="704"/>
        <w:gridCol w:w="1167"/>
        <w:gridCol w:w="1243"/>
        <w:gridCol w:w="992"/>
        <w:gridCol w:w="992"/>
        <w:gridCol w:w="1134"/>
        <w:gridCol w:w="1397"/>
        <w:gridCol w:w="1613"/>
      </w:tblGrid>
      <w:tr w:rsidR="00EA590A" w:rsidRPr="00EA590A" w14:paraId="0D6647D0" w14:textId="77777777" w:rsidTr="00321BDF">
        <w:trPr>
          <w:trHeight w:val="431"/>
        </w:trPr>
        <w:tc>
          <w:tcPr>
            <w:tcW w:w="704" w:type="dxa"/>
            <w:vMerge w:val="restart"/>
            <w:vAlign w:val="center"/>
          </w:tcPr>
          <w:p w14:paraId="3F501497" w14:textId="77777777" w:rsidR="006A41E2" w:rsidRPr="00EA590A" w:rsidRDefault="006A41E2" w:rsidP="00E45665">
            <w:pPr>
              <w:pStyle w:val="Institutionquisigne"/>
              <w:spacing w:before="0"/>
              <w:jc w:val="center"/>
              <w:rPr>
                <w:i w:val="0"/>
                <w:noProof/>
                <w:sz w:val="22"/>
              </w:rPr>
            </w:pPr>
            <w:r w:rsidRPr="00EA590A">
              <w:rPr>
                <w:i w:val="0"/>
                <w:noProof/>
                <w:sz w:val="22"/>
              </w:rPr>
              <w:t>Specifični cilj</w:t>
            </w:r>
          </w:p>
        </w:tc>
        <w:tc>
          <w:tcPr>
            <w:tcW w:w="1167" w:type="dxa"/>
            <w:vMerge w:val="restart"/>
            <w:vAlign w:val="center"/>
          </w:tcPr>
          <w:p w14:paraId="7E32BF4A" w14:textId="77777777" w:rsidR="006A41E2" w:rsidRPr="00EA590A" w:rsidRDefault="006A41E2" w:rsidP="00E45665">
            <w:pPr>
              <w:pStyle w:val="Institutionquisigne"/>
              <w:spacing w:before="0"/>
              <w:jc w:val="center"/>
              <w:rPr>
                <w:i w:val="0"/>
                <w:noProof/>
                <w:sz w:val="22"/>
              </w:rPr>
            </w:pPr>
            <w:r w:rsidRPr="00EA590A">
              <w:rPr>
                <w:i w:val="0"/>
                <w:noProof/>
                <w:sz w:val="22"/>
              </w:rPr>
              <w:t>Ime / referenčna številka ukrepa</w:t>
            </w:r>
          </w:p>
        </w:tc>
        <w:tc>
          <w:tcPr>
            <w:tcW w:w="1243" w:type="dxa"/>
            <w:vMerge w:val="restart"/>
            <w:vAlign w:val="center"/>
          </w:tcPr>
          <w:p w14:paraId="7BE1834C" w14:textId="77777777" w:rsidR="006A41E2" w:rsidRPr="00EA590A" w:rsidRDefault="006A41E2" w:rsidP="00E45665">
            <w:pPr>
              <w:pStyle w:val="Institutionquisigne"/>
              <w:spacing w:before="0"/>
              <w:jc w:val="center"/>
              <w:rPr>
                <w:i w:val="0"/>
                <w:noProof/>
                <w:sz w:val="22"/>
              </w:rPr>
            </w:pPr>
            <w:r w:rsidRPr="00EA590A">
              <w:rPr>
                <w:i w:val="0"/>
                <w:noProof/>
                <w:sz w:val="22"/>
              </w:rPr>
              <w:t>Upravičenec</w:t>
            </w:r>
          </w:p>
        </w:tc>
        <w:tc>
          <w:tcPr>
            <w:tcW w:w="992" w:type="dxa"/>
            <w:vMerge w:val="restart"/>
            <w:vAlign w:val="center"/>
          </w:tcPr>
          <w:p w14:paraId="1576FFE9" w14:textId="77777777" w:rsidR="006A41E2" w:rsidRPr="00EA590A" w:rsidRDefault="006A41E2" w:rsidP="00E45665">
            <w:pPr>
              <w:pStyle w:val="Institutionquisigne"/>
              <w:spacing w:before="0"/>
              <w:jc w:val="center"/>
              <w:rPr>
                <w:i w:val="0"/>
                <w:noProof/>
                <w:sz w:val="22"/>
              </w:rPr>
            </w:pPr>
            <w:r w:rsidRPr="00EA590A">
              <w:rPr>
                <w:i w:val="0"/>
                <w:noProof/>
                <w:sz w:val="22"/>
              </w:rPr>
              <w:t>Obdobje izvajanja</w:t>
            </w:r>
          </w:p>
        </w:tc>
        <w:tc>
          <w:tcPr>
            <w:tcW w:w="992" w:type="dxa"/>
            <w:vMerge w:val="restart"/>
            <w:vAlign w:val="center"/>
          </w:tcPr>
          <w:p w14:paraId="11444685" w14:textId="77777777" w:rsidR="006A41E2" w:rsidRPr="00EA590A" w:rsidRDefault="006A41E2" w:rsidP="006A41E2">
            <w:pPr>
              <w:pStyle w:val="Institutionquisigne"/>
              <w:spacing w:before="0"/>
              <w:jc w:val="center"/>
              <w:rPr>
                <w:i w:val="0"/>
                <w:noProof/>
                <w:sz w:val="22"/>
              </w:rPr>
            </w:pPr>
            <w:r w:rsidRPr="00EA590A">
              <w:rPr>
                <w:i w:val="0"/>
                <w:noProof/>
                <w:sz w:val="22"/>
              </w:rPr>
              <w:t>Upravičeni stroški</w:t>
            </w:r>
            <w:r w:rsidRPr="00EA590A">
              <w:rPr>
                <w:rStyle w:val="Sprotnaopomba-sklic"/>
                <w:i w:val="0"/>
                <w:noProof/>
                <w:sz w:val="22"/>
              </w:rPr>
              <w:footnoteReference w:id="13"/>
            </w:r>
          </w:p>
        </w:tc>
        <w:tc>
          <w:tcPr>
            <w:tcW w:w="1134" w:type="dxa"/>
            <w:vMerge w:val="restart"/>
            <w:vAlign w:val="center"/>
          </w:tcPr>
          <w:p w14:paraId="03520AA0" w14:textId="77777777" w:rsidR="006A41E2" w:rsidRPr="00EA590A" w:rsidRDefault="006A41E2" w:rsidP="006A41E2">
            <w:pPr>
              <w:pStyle w:val="Institutionquisigne"/>
              <w:spacing w:before="0"/>
              <w:jc w:val="center"/>
              <w:rPr>
                <w:i w:val="0"/>
                <w:noProof/>
                <w:sz w:val="22"/>
              </w:rPr>
            </w:pPr>
            <w:r w:rsidRPr="00EA590A">
              <w:rPr>
                <w:i w:val="0"/>
                <w:noProof/>
                <w:sz w:val="22"/>
              </w:rPr>
              <w:t>Upravičeni izdatki</w:t>
            </w:r>
            <w:r w:rsidRPr="00EA590A">
              <w:rPr>
                <w:rStyle w:val="Sprotnaopomba-sklic"/>
                <w:i w:val="0"/>
                <w:noProof/>
                <w:sz w:val="22"/>
              </w:rPr>
              <w:footnoteReference w:id="14"/>
            </w:r>
          </w:p>
        </w:tc>
        <w:tc>
          <w:tcPr>
            <w:tcW w:w="3010" w:type="dxa"/>
            <w:gridSpan w:val="2"/>
            <w:vAlign w:val="center"/>
          </w:tcPr>
          <w:p w14:paraId="7D6E5957" w14:textId="77777777" w:rsidR="006A41E2" w:rsidRPr="00EA590A" w:rsidRDefault="006A41E2" w:rsidP="006A41E2">
            <w:pPr>
              <w:pStyle w:val="Institutionquisigne"/>
              <w:spacing w:before="0"/>
              <w:jc w:val="center"/>
              <w:rPr>
                <w:i w:val="0"/>
                <w:noProof/>
                <w:sz w:val="22"/>
              </w:rPr>
            </w:pPr>
            <w:r w:rsidRPr="00EA590A">
              <w:rPr>
                <w:i w:val="0"/>
                <w:noProof/>
                <w:sz w:val="22"/>
              </w:rPr>
              <w:t>Napredek pri ustreznih skupnih kazalnikih in/ali kazalnikih za posamezne programe</w:t>
            </w:r>
            <w:r w:rsidRPr="00EA590A">
              <w:rPr>
                <w:rStyle w:val="Sprotnaopomba-sklic"/>
                <w:i w:val="0"/>
                <w:noProof/>
                <w:sz w:val="22"/>
              </w:rPr>
              <w:footnoteReference w:id="15"/>
            </w:r>
          </w:p>
        </w:tc>
      </w:tr>
      <w:tr w:rsidR="00EA590A" w:rsidRPr="00EA590A" w14:paraId="5E1F0E6F" w14:textId="77777777" w:rsidTr="00321BDF">
        <w:tc>
          <w:tcPr>
            <w:tcW w:w="704" w:type="dxa"/>
            <w:vMerge/>
            <w:vAlign w:val="center"/>
          </w:tcPr>
          <w:p w14:paraId="27DD9BA7" w14:textId="77777777" w:rsidR="006A41E2" w:rsidRPr="00EA590A" w:rsidRDefault="006A41E2" w:rsidP="00E45665">
            <w:pPr>
              <w:pStyle w:val="Institutionquisigne"/>
              <w:spacing w:before="0"/>
              <w:jc w:val="center"/>
              <w:rPr>
                <w:i w:val="0"/>
                <w:noProof/>
                <w:sz w:val="22"/>
              </w:rPr>
            </w:pPr>
          </w:p>
        </w:tc>
        <w:tc>
          <w:tcPr>
            <w:tcW w:w="1167" w:type="dxa"/>
            <w:vMerge/>
            <w:vAlign w:val="center"/>
          </w:tcPr>
          <w:p w14:paraId="7BA92C22" w14:textId="77777777" w:rsidR="006A41E2" w:rsidRPr="00EA590A" w:rsidRDefault="006A41E2" w:rsidP="00E45665">
            <w:pPr>
              <w:pStyle w:val="Institutionquisigne"/>
              <w:spacing w:before="0"/>
              <w:jc w:val="center"/>
              <w:rPr>
                <w:noProof/>
                <w:sz w:val="22"/>
              </w:rPr>
            </w:pPr>
          </w:p>
        </w:tc>
        <w:tc>
          <w:tcPr>
            <w:tcW w:w="1243" w:type="dxa"/>
            <w:vMerge/>
            <w:vAlign w:val="center"/>
          </w:tcPr>
          <w:p w14:paraId="240F05B8" w14:textId="77777777" w:rsidR="006A41E2" w:rsidRPr="00EA590A" w:rsidRDefault="006A41E2" w:rsidP="00E45665">
            <w:pPr>
              <w:pStyle w:val="Institutionquisigne"/>
              <w:spacing w:before="0"/>
              <w:jc w:val="center"/>
              <w:rPr>
                <w:noProof/>
                <w:sz w:val="22"/>
              </w:rPr>
            </w:pPr>
          </w:p>
        </w:tc>
        <w:tc>
          <w:tcPr>
            <w:tcW w:w="992" w:type="dxa"/>
            <w:vMerge/>
            <w:vAlign w:val="center"/>
          </w:tcPr>
          <w:p w14:paraId="6F5B36F0" w14:textId="77777777" w:rsidR="006A41E2" w:rsidRPr="00EA590A" w:rsidRDefault="006A41E2" w:rsidP="00E45665">
            <w:pPr>
              <w:pStyle w:val="Institutionquisigne"/>
              <w:spacing w:before="0"/>
              <w:jc w:val="center"/>
              <w:rPr>
                <w:noProof/>
                <w:sz w:val="22"/>
              </w:rPr>
            </w:pPr>
          </w:p>
        </w:tc>
        <w:tc>
          <w:tcPr>
            <w:tcW w:w="992" w:type="dxa"/>
            <w:vMerge/>
            <w:vAlign w:val="center"/>
          </w:tcPr>
          <w:p w14:paraId="19577FE3" w14:textId="77777777" w:rsidR="006A41E2" w:rsidRPr="00EA590A" w:rsidRDefault="006A41E2" w:rsidP="00E45665">
            <w:pPr>
              <w:pStyle w:val="Institutionquisigne"/>
              <w:spacing w:before="0"/>
              <w:jc w:val="center"/>
              <w:rPr>
                <w:noProof/>
                <w:sz w:val="22"/>
              </w:rPr>
            </w:pPr>
          </w:p>
        </w:tc>
        <w:tc>
          <w:tcPr>
            <w:tcW w:w="1134" w:type="dxa"/>
            <w:vMerge/>
            <w:vAlign w:val="center"/>
          </w:tcPr>
          <w:p w14:paraId="4CD1F41E" w14:textId="77777777" w:rsidR="006A41E2" w:rsidRPr="00EA590A" w:rsidRDefault="006A41E2" w:rsidP="00E45665">
            <w:pPr>
              <w:pStyle w:val="Institutionquisigne"/>
              <w:spacing w:before="0"/>
              <w:jc w:val="center"/>
              <w:rPr>
                <w:noProof/>
                <w:sz w:val="22"/>
              </w:rPr>
            </w:pPr>
          </w:p>
        </w:tc>
        <w:tc>
          <w:tcPr>
            <w:tcW w:w="1397" w:type="dxa"/>
            <w:vAlign w:val="center"/>
          </w:tcPr>
          <w:p w14:paraId="2D8EF5C5" w14:textId="77777777" w:rsidR="006A41E2" w:rsidRPr="00EA590A" w:rsidRDefault="006A41E2" w:rsidP="00E45665">
            <w:pPr>
              <w:pStyle w:val="Institutionquisigne"/>
              <w:spacing w:before="0"/>
              <w:jc w:val="center"/>
              <w:rPr>
                <w:i w:val="0"/>
                <w:noProof/>
                <w:sz w:val="22"/>
              </w:rPr>
            </w:pPr>
            <w:r w:rsidRPr="00EA590A">
              <w:rPr>
                <w:i w:val="0"/>
                <w:noProof/>
                <w:sz w:val="22"/>
              </w:rPr>
              <w:t>kazalniki učinka</w:t>
            </w:r>
          </w:p>
        </w:tc>
        <w:tc>
          <w:tcPr>
            <w:tcW w:w="1613" w:type="dxa"/>
            <w:vAlign w:val="center"/>
          </w:tcPr>
          <w:p w14:paraId="60775C5C" w14:textId="77777777" w:rsidR="006A41E2" w:rsidRPr="00EA590A" w:rsidRDefault="006A41E2" w:rsidP="00E45665">
            <w:pPr>
              <w:pStyle w:val="Institutionquisigne"/>
              <w:spacing w:before="0"/>
              <w:jc w:val="center"/>
              <w:rPr>
                <w:i w:val="0"/>
                <w:noProof/>
                <w:sz w:val="22"/>
              </w:rPr>
            </w:pPr>
            <w:r w:rsidRPr="00EA590A">
              <w:rPr>
                <w:i w:val="0"/>
                <w:noProof/>
                <w:sz w:val="22"/>
              </w:rPr>
              <w:t>kazalniki rezultatov</w:t>
            </w:r>
          </w:p>
        </w:tc>
      </w:tr>
      <w:tr w:rsidR="00EA590A" w:rsidRPr="00EA590A" w14:paraId="3F112A9E" w14:textId="77777777" w:rsidTr="00321BDF">
        <w:tc>
          <w:tcPr>
            <w:tcW w:w="704" w:type="dxa"/>
            <w:vAlign w:val="center"/>
          </w:tcPr>
          <w:p w14:paraId="6879B06F" w14:textId="77777777" w:rsidR="006A41E2" w:rsidRPr="00EA590A" w:rsidRDefault="00C922CB" w:rsidP="00E45665">
            <w:pPr>
              <w:pStyle w:val="Institutionquisigne"/>
              <w:spacing w:before="0"/>
              <w:jc w:val="center"/>
              <w:rPr>
                <w:i w:val="0"/>
                <w:noProof/>
                <w:sz w:val="22"/>
              </w:rPr>
            </w:pPr>
            <w:r w:rsidRPr="00EA590A">
              <w:rPr>
                <w:i w:val="0"/>
                <w:noProof/>
                <w:sz w:val="22"/>
              </w:rPr>
              <w:t>SO2</w:t>
            </w:r>
          </w:p>
        </w:tc>
        <w:tc>
          <w:tcPr>
            <w:tcW w:w="1167" w:type="dxa"/>
            <w:vAlign w:val="center"/>
          </w:tcPr>
          <w:p w14:paraId="1F7272AF" w14:textId="77777777" w:rsidR="006A41E2" w:rsidRPr="00EA590A" w:rsidRDefault="00C922CB" w:rsidP="00E45665">
            <w:pPr>
              <w:pStyle w:val="Institutionquisigne"/>
              <w:spacing w:before="0"/>
              <w:jc w:val="center"/>
              <w:rPr>
                <w:i w:val="0"/>
                <w:noProof/>
                <w:sz w:val="22"/>
              </w:rPr>
            </w:pPr>
            <w:r w:rsidRPr="00EA590A">
              <w:rPr>
                <w:i w:val="0"/>
                <w:noProof/>
                <w:sz w:val="22"/>
              </w:rPr>
              <w:t>ISF/2022/SA/2.2.1/012</w:t>
            </w:r>
          </w:p>
        </w:tc>
        <w:tc>
          <w:tcPr>
            <w:tcW w:w="1243" w:type="dxa"/>
          </w:tcPr>
          <w:p w14:paraId="04A66DAF" w14:textId="77777777" w:rsidR="006A41E2" w:rsidRPr="00EA590A" w:rsidRDefault="00C922CB" w:rsidP="00E45665">
            <w:pPr>
              <w:pStyle w:val="Institutionquisigne"/>
              <w:spacing w:before="0"/>
              <w:jc w:val="center"/>
              <w:rPr>
                <w:i w:val="0"/>
                <w:noProof/>
                <w:sz w:val="22"/>
              </w:rPr>
            </w:pPr>
            <w:r w:rsidRPr="00EA590A">
              <w:rPr>
                <w:i w:val="0"/>
                <w:noProof/>
                <w:sz w:val="22"/>
              </w:rPr>
              <w:t>Policija - Generalna policijska uprava - Uprava kriminalistične policije</w:t>
            </w:r>
          </w:p>
        </w:tc>
        <w:tc>
          <w:tcPr>
            <w:tcW w:w="992" w:type="dxa"/>
          </w:tcPr>
          <w:p w14:paraId="7FCA7856" w14:textId="77777777" w:rsidR="006A41E2" w:rsidRPr="00EA590A" w:rsidRDefault="00C922CB" w:rsidP="00E45665">
            <w:pPr>
              <w:pStyle w:val="Institutionquisigne"/>
              <w:spacing w:before="0"/>
              <w:jc w:val="center"/>
              <w:rPr>
                <w:i w:val="0"/>
                <w:noProof/>
                <w:sz w:val="22"/>
              </w:rPr>
            </w:pPr>
            <w:r w:rsidRPr="00EA590A">
              <w:rPr>
                <w:i w:val="0"/>
                <w:noProof/>
                <w:sz w:val="22"/>
              </w:rPr>
              <w:t>01/01/2023-</w:t>
            </w:r>
          </w:p>
          <w:p w14:paraId="15776A10" w14:textId="77777777" w:rsidR="00C922CB" w:rsidRPr="00EA590A" w:rsidRDefault="00C922CB" w:rsidP="00C922CB">
            <w:pPr>
              <w:pStyle w:val="Personnequisigne"/>
              <w:rPr>
                <w:i w:val="0"/>
                <w:sz w:val="22"/>
              </w:rPr>
            </w:pPr>
            <w:r w:rsidRPr="00EA590A">
              <w:rPr>
                <w:i w:val="0"/>
                <w:sz w:val="22"/>
              </w:rPr>
              <w:t>31/12/2024</w:t>
            </w:r>
          </w:p>
        </w:tc>
        <w:tc>
          <w:tcPr>
            <w:tcW w:w="992" w:type="dxa"/>
          </w:tcPr>
          <w:p w14:paraId="212CB42B" w14:textId="16CEE43D" w:rsidR="006A41E2" w:rsidRPr="00EA590A" w:rsidRDefault="00942AE8" w:rsidP="00E45665">
            <w:pPr>
              <w:pStyle w:val="Institutionquisigne"/>
              <w:spacing w:before="0"/>
              <w:jc w:val="center"/>
              <w:rPr>
                <w:i w:val="0"/>
                <w:noProof/>
                <w:sz w:val="22"/>
              </w:rPr>
            </w:pPr>
            <w:r w:rsidRPr="00EA590A">
              <w:rPr>
                <w:i w:val="0"/>
                <w:noProof/>
                <w:sz w:val="22"/>
              </w:rPr>
              <w:t>54.000</w:t>
            </w:r>
          </w:p>
        </w:tc>
        <w:tc>
          <w:tcPr>
            <w:tcW w:w="1134" w:type="dxa"/>
          </w:tcPr>
          <w:p w14:paraId="4B088C9E" w14:textId="298CB6C2" w:rsidR="006A41E2" w:rsidRPr="00EA590A" w:rsidRDefault="00372911" w:rsidP="00E45665">
            <w:pPr>
              <w:pStyle w:val="Institutionquisigne"/>
              <w:spacing w:before="0"/>
              <w:jc w:val="center"/>
              <w:rPr>
                <w:i w:val="0"/>
                <w:noProof/>
                <w:sz w:val="22"/>
              </w:rPr>
            </w:pPr>
            <w:r w:rsidRPr="00EA590A">
              <w:rPr>
                <w:i w:val="0"/>
                <w:noProof/>
                <w:sz w:val="22"/>
              </w:rPr>
              <w:t>31.402,99</w:t>
            </w:r>
          </w:p>
        </w:tc>
        <w:tc>
          <w:tcPr>
            <w:tcW w:w="1397" w:type="dxa"/>
          </w:tcPr>
          <w:p w14:paraId="22076FAD" w14:textId="77777777" w:rsidR="006A41E2" w:rsidRPr="00EA590A" w:rsidRDefault="0006040C" w:rsidP="00E45665">
            <w:pPr>
              <w:pStyle w:val="Institutionquisigne"/>
              <w:spacing w:before="0"/>
              <w:jc w:val="center"/>
              <w:rPr>
                <w:i w:val="0"/>
                <w:noProof/>
                <w:sz w:val="22"/>
              </w:rPr>
            </w:pPr>
            <w:r w:rsidRPr="00EA590A">
              <w:rPr>
                <w:i w:val="0"/>
                <w:noProof/>
                <w:sz w:val="22"/>
              </w:rPr>
              <w:t>/</w:t>
            </w:r>
          </w:p>
        </w:tc>
        <w:tc>
          <w:tcPr>
            <w:tcW w:w="1613" w:type="dxa"/>
          </w:tcPr>
          <w:p w14:paraId="1254175E" w14:textId="77777777" w:rsidR="006A41E2" w:rsidRPr="00EA590A" w:rsidRDefault="0006040C" w:rsidP="00E45665">
            <w:pPr>
              <w:pStyle w:val="Institutionquisigne"/>
              <w:spacing w:before="0"/>
              <w:jc w:val="center"/>
              <w:rPr>
                <w:i w:val="0"/>
                <w:noProof/>
                <w:sz w:val="22"/>
              </w:rPr>
            </w:pPr>
            <w:r w:rsidRPr="00EA590A">
              <w:rPr>
                <w:i w:val="0"/>
                <w:noProof/>
                <w:sz w:val="22"/>
              </w:rPr>
              <w:t>/</w:t>
            </w:r>
          </w:p>
        </w:tc>
      </w:tr>
    </w:tbl>
    <w:p w14:paraId="109CD574" w14:textId="77777777" w:rsidR="006A41E2" w:rsidRPr="00EA590A" w:rsidRDefault="00C30ACF" w:rsidP="00C30ACF">
      <w:pPr>
        <w:pStyle w:val="ManualHeading2"/>
        <w:rPr>
          <w:noProof/>
          <w:sz w:val="22"/>
        </w:rPr>
      </w:pPr>
      <w:r w:rsidRPr="00EA590A">
        <w:rPr>
          <w:sz w:val="22"/>
        </w:rPr>
        <w:t>1.6.</w:t>
      </w:r>
      <w:r w:rsidRPr="00EA590A">
        <w:rPr>
          <w:sz w:val="22"/>
        </w:rPr>
        <w:tab/>
      </w:r>
      <w:r w:rsidR="0001528B" w:rsidRPr="00EA590A">
        <w:rPr>
          <w:noProof/>
          <w:sz w:val="22"/>
        </w:rPr>
        <w:t>Skladnost s členom 13(7) Uredbe (EU) 2021/1149</w:t>
      </w:r>
    </w:p>
    <w:p w14:paraId="6BB585C0" w14:textId="77777777" w:rsidR="00E76930" w:rsidRPr="00EA590A" w:rsidRDefault="00352119" w:rsidP="006A41E2">
      <w:pPr>
        <w:rPr>
          <w:noProof/>
          <w:sz w:val="22"/>
        </w:rPr>
      </w:pPr>
      <w:r w:rsidRPr="00EA590A">
        <w:rPr>
          <w:noProof/>
          <w:sz w:val="22"/>
        </w:rPr>
        <w:t xml:space="preserve">Sporočite skupni kumulativni znesek nastalih in plačanih izdatkov za opremo, prevozna sredstva ali izgradnjo za varnost pomembnih zmogljivosti v skladu s členom 13(7) Uredbe (EU) 2021/1149 glede na podatke, ki se elektronsko shranjujejo v skladu s poljem 142 Priloge XVII k Uredbi (EU) 2021/1060. </w:t>
      </w:r>
    </w:p>
    <w:tbl>
      <w:tblPr>
        <w:tblStyle w:val="Tabelamrea"/>
        <w:tblW w:w="0" w:type="auto"/>
        <w:tblLook w:val="04A0" w:firstRow="1" w:lastRow="0" w:firstColumn="1" w:lastColumn="0" w:noHBand="0" w:noVBand="1"/>
      </w:tblPr>
      <w:tblGrid>
        <w:gridCol w:w="9063"/>
      </w:tblGrid>
      <w:tr w:rsidR="00EA590A" w:rsidRPr="00EA590A" w14:paraId="7BD545A4" w14:textId="77777777" w:rsidTr="00586750">
        <w:tc>
          <w:tcPr>
            <w:tcW w:w="9289" w:type="dxa"/>
          </w:tcPr>
          <w:p w14:paraId="4CC8009D" w14:textId="4494DFBE" w:rsidR="00144C4C" w:rsidRPr="00EA590A" w:rsidRDefault="00A71D38" w:rsidP="00A71D38">
            <w:pPr>
              <w:pStyle w:val="Personnequisigne"/>
              <w:jc w:val="both"/>
              <w:rPr>
                <w:i w:val="0"/>
                <w:sz w:val="22"/>
              </w:rPr>
            </w:pPr>
            <w:r w:rsidRPr="00EA590A">
              <w:rPr>
                <w:i w:val="0"/>
                <w:sz w:val="22"/>
              </w:rPr>
              <w:t xml:space="preserve">V obdobju poročanja </w:t>
            </w:r>
            <w:r w:rsidR="009054FD" w:rsidRPr="00EA590A">
              <w:rPr>
                <w:i w:val="0"/>
                <w:sz w:val="22"/>
              </w:rPr>
              <w:t xml:space="preserve">se je, v skladu </w:t>
            </w:r>
            <w:r w:rsidRPr="00EA590A">
              <w:rPr>
                <w:i w:val="0"/>
                <w:sz w:val="22"/>
              </w:rPr>
              <w:t xml:space="preserve">z odločitvijo o podpori </w:t>
            </w:r>
            <w:r w:rsidR="009054FD" w:rsidRPr="00EA590A">
              <w:rPr>
                <w:i w:val="0"/>
                <w:sz w:val="22"/>
              </w:rPr>
              <w:t xml:space="preserve">izvajalo </w:t>
            </w:r>
            <w:r w:rsidR="0052564C" w:rsidRPr="00EA590A">
              <w:rPr>
                <w:i w:val="0"/>
                <w:sz w:val="22"/>
              </w:rPr>
              <w:t>40</w:t>
            </w:r>
            <w:r w:rsidRPr="00EA590A">
              <w:rPr>
                <w:i w:val="0"/>
                <w:sz w:val="22"/>
              </w:rPr>
              <w:t xml:space="preserve"> operacij iz programa SNV (neposredna dodelitev)</w:t>
            </w:r>
            <w:r w:rsidR="00B422D7" w:rsidRPr="00EA590A">
              <w:rPr>
                <w:i w:val="0"/>
                <w:sz w:val="22"/>
              </w:rPr>
              <w:t>,</w:t>
            </w:r>
            <w:r w:rsidR="00F340CF" w:rsidRPr="00EA590A">
              <w:rPr>
                <w:i w:val="0"/>
                <w:sz w:val="22"/>
              </w:rPr>
              <w:t xml:space="preserve"> v katerih je </w:t>
            </w:r>
            <w:r w:rsidR="00D019D3" w:rsidRPr="00EA590A">
              <w:rPr>
                <w:i w:val="0"/>
                <w:sz w:val="22"/>
              </w:rPr>
              <w:t xml:space="preserve">znašal </w:t>
            </w:r>
            <w:r w:rsidR="00F00157" w:rsidRPr="00EA590A">
              <w:rPr>
                <w:i w:val="0"/>
                <w:sz w:val="22"/>
              </w:rPr>
              <w:t xml:space="preserve">skupni </w:t>
            </w:r>
            <w:r w:rsidR="00F340CF" w:rsidRPr="00EA590A">
              <w:rPr>
                <w:i w:val="0"/>
                <w:sz w:val="22"/>
              </w:rPr>
              <w:t>znesek odobrenih sredstev za opremo</w:t>
            </w:r>
            <w:r w:rsidR="00D019D3" w:rsidRPr="00EA590A">
              <w:rPr>
                <w:i w:val="0"/>
                <w:sz w:val="22"/>
              </w:rPr>
              <w:t xml:space="preserve"> (</w:t>
            </w:r>
            <w:r w:rsidR="00F00157" w:rsidRPr="00EA590A">
              <w:rPr>
                <w:i w:val="0"/>
                <w:sz w:val="22"/>
              </w:rPr>
              <w:t>6,6</w:t>
            </w:r>
            <w:r w:rsidR="00D019D3" w:rsidRPr="00EA590A">
              <w:rPr>
                <w:i w:val="0"/>
                <w:sz w:val="22"/>
              </w:rPr>
              <w:t xml:space="preserve"> MIO EUR)</w:t>
            </w:r>
            <w:r w:rsidR="00F340CF" w:rsidRPr="00EA590A">
              <w:rPr>
                <w:i w:val="0"/>
                <w:sz w:val="22"/>
              </w:rPr>
              <w:t xml:space="preserve">, prevozna sredstva </w:t>
            </w:r>
            <w:r w:rsidR="00D019D3" w:rsidRPr="00EA590A">
              <w:rPr>
                <w:i w:val="0"/>
                <w:sz w:val="22"/>
              </w:rPr>
              <w:t>(</w:t>
            </w:r>
            <w:r w:rsidR="00F00157" w:rsidRPr="00EA590A">
              <w:rPr>
                <w:i w:val="0"/>
                <w:sz w:val="22"/>
              </w:rPr>
              <w:t>5,3</w:t>
            </w:r>
            <w:r w:rsidR="00D019D3" w:rsidRPr="00EA590A">
              <w:rPr>
                <w:i w:val="0"/>
                <w:sz w:val="22"/>
              </w:rPr>
              <w:t xml:space="preserve"> MIO EUR) in </w:t>
            </w:r>
            <w:r w:rsidR="00F340CF" w:rsidRPr="00EA590A">
              <w:rPr>
                <w:i w:val="0"/>
                <w:sz w:val="22"/>
              </w:rPr>
              <w:t xml:space="preserve">izgradnjo za varnost pomembnih zmogljivosti </w:t>
            </w:r>
            <w:r w:rsidR="00EF1278" w:rsidRPr="00EA590A">
              <w:rPr>
                <w:i w:val="0"/>
                <w:sz w:val="22"/>
              </w:rPr>
              <w:t>(0,</w:t>
            </w:r>
            <w:r w:rsidR="00F00157" w:rsidRPr="00EA590A">
              <w:rPr>
                <w:i w:val="0"/>
                <w:sz w:val="22"/>
              </w:rPr>
              <w:t>7</w:t>
            </w:r>
            <w:r w:rsidR="00D019D3" w:rsidRPr="00EA590A">
              <w:rPr>
                <w:i w:val="0"/>
                <w:sz w:val="22"/>
              </w:rPr>
              <w:t xml:space="preserve"> MIO EUR). </w:t>
            </w:r>
          </w:p>
          <w:p w14:paraId="146E5888" w14:textId="77777777" w:rsidR="00144C4C" w:rsidRPr="00EA590A" w:rsidRDefault="00144C4C" w:rsidP="00A71D38">
            <w:pPr>
              <w:pStyle w:val="Personnequisigne"/>
              <w:jc w:val="both"/>
              <w:rPr>
                <w:i w:val="0"/>
                <w:sz w:val="22"/>
              </w:rPr>
            </w:pPr>
          </w:p>
          <w:p w14:paraId="593B1C7A" w14:textId="76CDAF7E" w:rsidR="009054FD" w:rsidRPr="00EA590A" w:rsidRDefault="00D019D3" w:rsidP="00A71D38">
            <w:pPr>
              <w:pStyle w:val="Personnequisigne"/>
              <w:jc w:val="both"/>
              <w:rPr>
                <w:i w:val="0"/>
                <w:sz w:val="22"/>
              </w:rPr>
            </w:pPr>
            <w:r w:rsidRPr="00EA590A">
              <w:rPr>
                <w:i w:val="0"/>
                <w:sz w:val="22"/>
              </w:rPr>
              <w:t xml:space="preserve">Realizacija pa je bila sledeča: </w:t>
            </w:r>
            <w:r w:rsidR="00F12CD3" w:rsidRPr="00EA590A">
              <w:rPr>
                <w:i w:val="0"/>
                <w:sz w:val="22"/>
              </w:rPr>
              <w:t>oprema</w:t>
            </w:r>
            <w:r w:rsidRPr="00EA590A">
              <w:rPr>
                <w:i w:val="0"/>
                <w:sz w:val="22"/>
              </w:rPr>
              <w:t xml:space="preserve"> (</w:t>
            </w:r>
            <w:r w:rsidR="00F00157" w:rsidRPr="00EA590A">
              <w:rPr>
                <w:i w:val="0"/>
                <w:sz w:val="22"/>
              </w:rPr>
              <w:t>2,3</w:t>
            </w:r>
            <w:r w:rsidRPr="00EA590A">
              <w:rPr>
                <w:i w:val="0"/>
                <w:sz w:val="22"/>
              </w:rPr>
              <w:t xml:space="preserve"> MIO EUR</w:t>
            </w:r>
            <w:r w:rsidR="003D3ACB" w:rsidRPr="00EA590A">
              <w:rPr>
                <w:i w:val="0"/>
                <w:sz w:val="22"/>
              </w:rPr>
              <w:t xml:space="preserve">, </w:t>
            </w:r>
            <w:r w:rsidR="00F00157" w:rsidRPr="00EA590A">
              <w:rPr>
                <w:i w:val="0"/>
                <w:sz w:val="22"/>
              </w:rPr>
              <w:t xml:space="preserve">36 </w:t>
            </w:r>
            <w:r w:rsidR="003D3ACB" w:rsidRPr="00EA590A">
              <w:rPr>
                <w:i w:val="0"/>
                <w:sz w:val="22"/>
              </w:rPr>
              <w:t>%</w:t>
            </w:r>
            <w:r w:rsidRPr="00EA590A">
              <w:rPr>
                <w:i w:val="0"/>
                <w:sz w:val="22"/>
              </w:rPr>
              <w:t>), prevozna sredstva (</w:t>
            </w:r>
            <w:r w:rsidR="00F00157" w:rsidRPr="00EA590A">
              <w:rPr>
                <w:i w:val="0"/>
                <w:sz w:val="22"/>
              </w:rPr>
              <w:t>1,6</w:t>
            </w:r>
            <w:r w:rsidRPr="00EA590A">
              <w:rPr>
                <w:i w:val="0"/>
                <w:sz w:val="22"/>
              </w:rPr>
              <w:t xml:space="preserve"> MIO EUR</w:t>
            </w:r>
            <w:r w:rsidR="003D3ACB" w:rsidRPr="00EA590A">
              <w:rPr>
                <w:i w:val="0"/>
                <w:sz w:val="22"/>
              </w:rPr>
              <w:t xml:space="preserve">, </w:t>
            </w:r>
            <w:r w:rsidR="00F00157" w:rsidRPr="00EA590A">
              <w:rPr>
                <w:i w:val="0"/>
                <w:sz w:val="22"/>
              </w:rPr>
              <w:t>31</w:t>
            </w:r>
            <w:r w:rsidR="003D3ACB" w:rsidRPr="00EA590A">
              <w:rPr>
                <w:i w:val="0"/>
                <w:sz w:val="22"/>
              </w:rPr>
              <w:t xml:space="preserve"> %</w:t>
            </w:r>
            <w:r w:rsidRPr="00EA590A">
              <w:rPr>
                <w:i w:val="0"/>
                <w:sz w:val="22"/>
              </w:rPr>
              <w:t xml:space="preserve">) in </w:t>
            </w:r>
            <w:r w:rsidR="00F12CD3" w:rsidRPr="00EA590A">
              <w:rPr>
                <w:i w:val="0"/>
                <w:sz w:val="22"/>
              </w:rPr>
              <w:t>izgradnjo za varnost pomembne</w:t>
            </w:r>
            <w:r w:rsidRPr="00EA590A">
              <w:rPr>
                <w:i w:val="0"/>
                <w:sz w:val="22"/>
              </w:rPr>
              <w:t xml:space="preserve"> zmogljivosti (0,</w:t>
            </w:r>
            <w:r w:rsidR="00F00157" w:rsidRPr="00EA590A">
              <w:rPr>
                <w:i w:val="0"/>
                <w:sz w:val="22"/>
              </w:rPr>
              <w:t>7</w:t>
            </w:r>
            <w:r w:rsidRPr="00EA590A">
              <w:rPr>
                <w:i w:val="0"/>
                <w:sz w:val="22"/>
              </w:rPr>
              <w:t xml:space="preserve"> MIO EUR</w:t>
            </w:r>
            <w:r w:rsidR="003D3ACB" w:rsidRPr="00EA590A">
              <w:rPr>
                <w:i w:val="0"/>
                <w:sz w:val="22"/>
              </w:rPr>
              <w:t xml:space="preserve">, </w:t>
            </w:r>
            <w:r w:rsidR="00F00157" w:rsidRPr="00EA590A">
              <w:rPr>
                <w:i w:val="0"/>
                <w:sz w:val="22"/>
              </w:rPr>
              <w:t>6</w:t>
            </w:r>
            <w:r w:rsidR="003D3ACB" w:rsidRPr="00EA590A">
              <w:rPr>
                <w:i w:val="0"/>
                <w:sz w:val="22"/>
              </w:rPr>
              <w:t xml:space="preserve"> %</w:t>
            </w:r>
            <w:r w:rsidRPr="00EA590A">
              <w:rPr>
                <w:i w:val="0"/>
                <w:sz w:val="22"/>
              </w:rPr>
              <w:t>)</w:t>
            </w:r>
            <w:r w:rsidR="00DD3A49" w:rsidRPr="00EA590A">
              <w:rPr>
                <w:i w:val="0"/>
                <w:sz w:val="22"/>
              </w:rPr>
              <w:t>. To predstavlja</w:t>
            </w:r>
            <w:r w:rsidR="00F00157" w:rsidRPr="00EA590A">
              <w:rPr>
                <w:i w:val="0"/>
                <w:sz w:val="22"/>
              </w:rPr>
              <w:t xml:space="preserve"> 3</w:t>
            </w:r>
            <w:r w:rsidR="00DC61A9" w:rsidRPr="00EA590A">
              <w:rPr>
                <w:i w:val="0"/>
                <w:sz w:val="22"/>
              </w:rPr>
              <w:t>2</w:t>
            </w:r>
            <w:r w:rsidR="00F00157" w:rsidRPr="00EA590A">
              <w:rPr>
                <w:i w:val="0"/>
                <w:sz w:val="22"/>
              </w:rPr>
              <w:t xml:space="preserve"> % </w:t>
            </w:r>
            <w:r w:rsidR="00DD3A49" w:rsidRPr="00EA590A">
              <w:rPr>
                <w:i w:val="0"/>
                <w:sz w:val="22"/>
              </w:rPr>
              <w:t>od vseh sred</w:t>
            </w:r>
            <w:r w:rsidR="0085163F" w:rsidRPr="00EA590A">
              <w:rPr>
                <w:i w:val="0"/>
                <w:sz w:val="22"/>
              </w:rPr>
              <w:t>stev</w:t>
            </w:r>
            <w:r w:rsidR="00DD3A49" w:rsidRPr="00EA590A">
              <w:rPr>
                <w:i w:val="0"/>
                <w:sz w:val="22"/>
              </w:rPr>
              <w:t xml:space="preserve">, ki so na voljo za opremo, prevozna sredstva ali izgradnjo za varnost pomembnih zmogljivosti oz. </w:t>
            </w:r>
            <w:r w:rsidR="00DC61A9" w:rsidRPr="00EA590A">
              <w:rPr>
                <w:i w:val="0"/>
                <w:sz w:val="22"/>
              </w:rPr>
              <w:t xml:space="preserve">11 </w:t>
            </w:r>
            <w:r w:rsidR="00DD3A49" w:rsidRPr="00EA590A">
              <w:rPr>
                <w:i w:val="0"/>
                <w:sz w:val="22"/>
              </w:rPr>
              <w:t>% od 35 %.</w:t>
            </w:r>
          </w:p>
          <w:p w14:paraId="7952E2D7" w14:textId="77777777" w:rsidR="00352119" w:rsidRPr="00EA590A" w:rsidRDefault="00352119" w:rsidP="00F340CF">
            <w:pPr>
              <w:pStyle w:val="Personnequisigne"/>
              <w:jc w:val="both"/>
              <w:rPr>
                <w:noProof/>
                <w:sz w:val="22"/>
              </w:rPr>
            </w:pPr>
          </w:p>
        </w:tc>
      </w:tr>
    </w:tbl>
    <w:p w14:paraId="3FDDA861" w14:textId="77777777" w:rsidR="006A41E2" w:rsidRPr="00EA590A" w:rsidRDefault="00BB3C0E" w:rsidP="009E5C5D">
      <w:pPr>
        <w:rPr>
          <w:noProof/>
          <w:sz w:val="22"/>
        </w:rPr>
      </w:pPr>
      <w:r w:rsidRPr="00EA590A">
        <w:rPr>
          <w:noProof/>
          <w:sz w:val="22"/>
        </w:rPr>
        <w:t xml:space="preserve">Potrdite, da skupni kumulativni upravičeni stroški operacij, izbranih za podporo za opremo, prevozna sredstva ali izgradnjo za varnost pomembnih zmogljivosti v skladu s členom 13(7) Uredbe (EU) 2021/1149, do konca obračunskega leta ne presegajo 35 % skupnih sredstev, dodeljenih programu, ali pojasnite razloge za to. Če obstaja tveganje, da bo prag do konca programskega obdobja presežen, opišite predvidene ukrepe za zmanjšanje tveganja ali ustrezno utemeljene razloge za preseganje praga. </w:t>
      </w:r>
    </w:p>
    <w:tbl>
      <w:tblPr>
        <w:tblStyle w:val="Tabelamrea"/>
        <w:tblW w:w="0" w:type="auto"/>
        <w:tblLook w:val="04A0" w:firstRow="1" w:lastRow="0" w:firstColumn="1" w:lastColumn="0" w:noHBand="0" w:noVBand="1"/>
      </w:tblPr>
      <w:tblGrid>
        <w:gridCol w:w="9063"/>
      </w:tblGrid>
      <w:tr w:rsidR="00EA590A" w:rsidRPr="00EA590A" w14:paraId="23F15088" w14:textId="77777777" w:rsidTr="00BA53A9">
        <w:trPr>
          <w:trHeight w:val="262"/>
        </w:trPr>
        <w:tc>
          <w:tcPr>
            <w:tcW w:w="9289" w:type="dxa"/>
          </w:tcPr>
          <w:p w14:paraId="35915832" w14:textId="77777777" w:rsidR="006A41E2" w:rsidRPr="00EA590A" w:rsidRDefault="00AB2D96" w:rsidP="00BE2CFE">
            <w:pPr>
              <w:pStyle w:val="Personnequisigne"/>
              <w:jc w:val="both"/>
              <w:rPr>
                <w:i w:val="0"/>
                <w:noProof/>
                <w:sz w:val="22"/>
              </w:rPr>
            </w:pPr>
            <w:r w:rsidRPr="00EA590A">
              <w:rPr>
                <w:i w:val="0"/>
                <w:noProof/>
                <w:sz w:val="22"/>
              </w:rPr>
              <w:t xml:space="preserve">V informacijske sistemu MIGRA </w:t>
            </w:r>
            <w:r w:rsidR="00AA4553" w:rsidRPr="00EA590A">
              <w:rPr>
                <w:i w:val="0"/>
                <w:noProof/>
                <w:sz w:val="22"/>
              </w:rPr>
              <w:t>III</w:t>
            </w:r>
            <w:r w:rsidRPr="00EA590A">
              <w:rPr>
                <w:i w:val="0"/>
                <w:noProof/>
                <w:sz w:val="22"/>
              </w:rPr>
              <w:t xml:space="preserve"> se za program SNV z oddajo vsakega zahtevka za povračilo beleži stanje opreme, prevoznih sredstev</w:t>
            </w:r>
            <w:r w:rsidR="00BE2CFE" w:rsidRPr="00EA590A">
              <w:rPr>
                <w:i w:val="0"/>
                <w:noProof/>
                <w:sz w:val="22"/>
              </w:rPr>
              <w:t xml:space="preserve"> ali sredstev za izgradnjo</w:t>
            </w:r>
            <w:r w:rsidRPr="00EA590A">
              <w:rPr>
                <w:i w:val="0"/>
                <w:noProof/>
                <w:sz w:val="22"/>
              </w:rPr>
              <w:t xml:space="preserve"> za varnost pomembnih zmogljivosti</w:t>
            </w:r>
            <w:r w:rsidR="00BE2CFE" w:rsidRPr="00EA590A">
              <w:rPr>
                <w:i w:val="0"/>
                <w:noProof/>
                <w:sz w:val="22"/>
              </w:rPr>
              <w:t>, zato bi bila</w:t>
            </w:r>
            <w:r w:rsidRPr="00EA590A">
              <w:rPr>
                <w:i w:val="0"/>
                <w:noProof/>
                <w:sz w:val="22"/>
              </w:rPr>
              <w:t xml:space="preserve"> morebitna informacija o preseganju 35 % </w:t>
            </w:r>
            <w:r w:rsidR="00BE2CFE" w:rsidRPr="00EA590A">
              <w:rPr>
                <w:i w:val="0"/>
                <w:noProof/>
                <w:sz w:val="22"/>
              </w:rPr>
              <w:t xml:space="preserve">praga </w:t>
            </w:r>
            <w:r w:rsidRPr="00EA590A">
              <w:rPr>
                <w:i w:val="0"/>
                <w:noProof/>
                <w:sz w:val="22"/>
              </w:rPr>
              <w:t>takoj dostopna.</w:t>
            </w:r>
          </w:p>
        </w:tc>
      </w:tr>
    </w:tbl>
    <w:p w14:paraId="7BAB2720" w14:textId="77777777" w:rsidR="006A41E2" w:rsidRPr="00EA590A" w:rsidRDefault="00C30ACF" w:rsidP="00C30ACF">
      <w:pPr>
        <w:pStyle w:val="ManualHeading2"/>
        <w:rPr>
          <w:noProof/>
          <w:sz w:val="22"/>
        </w:rPr>
      </w:pPr>
      <w:r w:rsidRPr="00EA590A">
        <w:rPr>
          <w:sz w:val="22"/>
        </w:rPr>
        <w:t>1.7.</w:t>
      </w:r>
      <w:r w:rsidRPr="00EA590A">
        <w:rPr>
          <w:sz w:val="22"/>
        </w:rPr>
        <w:tab/>
      </w:r>
      <w:r w:rsidR="006A41E2" w:rsidRPr="00EA590A">
        <w:rPr>
          <w:noProof/>
          <w:sz w:val="22"/>
        </w:rPr>
        <w:t>Samo v letu 2024: nadaljevanje projektov – člen 34(4), točka (e), Uredbe (EU) 2021/1149</w:t>
      </w:r>
    </w:p>
    <w:p w14:paraId="7008FFE4" w14:textId="77777777" w:rsidR="006A41E2" w:rsidRPr="00EA590A" w:rsidRDefault="0060652B" w:rsidP="006A41E2">
      <w:pPr>
        <w:rPr>
          <w:noProof/>
          <w:sz w:val="22"/>
        </w:rPr>
      </w:pPr>
      <w:r w:rsidRPr="00EA590A">
        <w:rPr>
          <w:noProof/>
          <w:sz w:val="22"/>
        </w:rPr>
        <w:t>Poročajte o vseh projektih, ki so se nadaljevali po 1. januarju 2021 ter so bili izbrani in začeti na podlagi Uredbe (EU) št. 513/2014 Evropskega parlamenta in Sveta</w:t>
      </w:r>
      <w:r w:rsidRPr="00EA590A">
        <w:rPr>
          <w:rStyle w:val="Sprotnaopomba-sklic"/>
          <w:noProof/>
          <w:sz w:val="22"/>
        </w:rPr>
        <w:footnoteReference w:id="16"/>
      </w:r>
      <w:r w:rsidRPr="00EA590A">
        <w:rPr>
          <w:noProof/>
          <w:sz w:val="22"/>
        </w:rPr>
        <w:t>, v skladu z Uredbo (EU) št. 514/2014 Evropskega parlamenta in Sveta</w:t>
      </w:r>
      <w:r w:rsidRPr="00EA590A">
        <w:rPr>
          <w:rStyle w:val="Sprotnaopomba-sklic"/>
          <w:noProof/>
          <w:sz w:val="22"/>
        </w:rPr>
        <w:footnoteReference w:id="17"/>
      </w:r>
      <w:r w:rsidRPr="00EA590A">
        <w:rPr>
          <w:noProof/>
          <w:sz w:val="22"/>
        </w:rPr>
        <w:t>.</w:t>
      </w:r>
    </w:p>
    <w:tbl>
      <w:tblPr>
        <w:tblStyle w:val="Tabelamrea"/>
        <w:tblW w:w="0" w:type="auto"/>
        <w:tblLook w:val="04A0" w:firstRow="1" w:lastRow="0" w:firstColumn="1" w:lastColumn="0" w:noHBand="0" w:noVBand="1"/>
      </w:tblPr>
      <w:tblGrid>
        <w:gridCol w:w="9063"/>
      </w:tblGrid>
      <w:tr w:rsidR="00EA590A" w:rsidRPr="00EA590A" w14:paraId="568CEA2C" w14:textId="77777777" w:rsidTr="00E45665">
        <w:tc>
          <w:tcPr>
            <w:tcW w:w="9289" w:type="dxa"/>
          </w:tcPr>
          <w:p w14:paraId="244DC50B" w14:textId="69E993D7" w:rsidR="006A41E2" w:rsidRPr="00EA590A" w:rsidRDefault="00230FE3" w:rsidP="009E5C5D">
            <w:pPr>
              <w:pStyle w:val="Personnequisigne"/>
              <w:rPr>
                <w:noProof/>
                <w:sz w:val="22"/>
              </w:rPr>
            </w:pPr>
            <w:r w:rsidRPr="00EA590A">
              <w:rPr>
                <w:noProof/>
                <w:sz w:val="22"/>
              </w:rPr>
              <w:t>/</w:t>
            </w:r>
          </w:p>
        </w:tc>
      </w:tr>
    </w:tbl>
    <w:p w14:paraId="77007625" w14:textId="77777777" w:rsidR="006A41E2" w:rsidRPr="00EA590A" w:rsidRDefault="00C30ACF" w:rsidP="00C30ACF">
      <w:pPr>
        <w:pStyle w:val="ManualHeading1"/>
        <w:rPr>
          <w:noProof/>
          <w:sz w:val="22"/>
        </w:rPr>
      </w:pPr>
      <w:r w:rsidRPr="00EA590A">
        <w:rPr>
          <w:sz w:val="22"/>
        </w:rPr>
        <w:t>2.</w:t>
      </w:r>
      <w:r w:rsidRPr="00EA590A">
        <w:rPr>
          <w:sz w:val="22"/>
        </w:rPr>
        <w:tab/>
      </w:r>
      <w:r w:rsidR="006A41E2" w:rsidRPr="00EA590A">
        <w:rPr>
          <w:noProof/>
          <w:sz w:val="22"/>
        </w:rPr>
        <w:t xml:space="preserve">Dopolnjevanje </w:t>
      </w:r>
    </w:p>
    <w:p w14:paraId="67C15350" w14:textId="77777777" w:rsidR="006A41E2" w:rsidRPr="00EA590A" w:rsidRDefault="00C30ACF" w:rsidP="00C30ACF">
      <w:pPr>
        <w:pStyle w:val="ManualHeading2"/>
        <w:rPr>
          <w:noProof/>
          <w:sz w:val="22"/>
        </w:rPr>
      </w:pPr>
      <w:r w:rsidRPr="00EA590A">
        <w:rPr>
          <w:sz w:val="22"/>
        </w:rPr>
        <w:t>2.1.</w:t>
      </w:r>
      <w:r w:rsidRPr="00EA590A">
        <w:rPr>
          <w:sz w:val="22"/>
        </w:rPr>
        <w:tab/>
      </w:r>
      <w:r w:rsidR="006A41E2" w:rsidRPr="00EA590A">
        <w:rPr>
          <w:noProof/>
          <w:sz w:val="22"/>
        </w:rPr>
        <w:t>Dopolnjevanje z drugimi skladi Unije – člen 30(2), točka (c), Uredbe (EU) 2021/1149</w:t>
      </w:r>
    </w:p>
    <w:p w14:paraId="7EA61739" w14:textId="77777777" w:rsidR="004630E2" w:rsidRPr="00EA590A" w:rsidRDefault="0060652B" w:rsidP="006A41E2">
      <w:pPr>
        <w:rPr>
          <w:noProof/>
          <w:sz w:val="22"/>
        </w:rPr>
      </w:pPr>
      <w:r w:rsidRPr="00EA590A">
        <w:rPr>
          <w:noProof/>
          <w:sz w:val="22"/>
        </w:rPr>
        <w:t>Opišite dopolnjevanje in, če je ustrezno, sinergije med ukrepi, ki jih podpira Sklad, in podporo iz drugih skladov Unije na področju varnosti, kot so:</w:t>
      </w:r>
    </w:p>
    <w:p w14:paraId="44D5ECE1" w14:textId="77777777" w:rsidR="004630E2" w:rsidRPr="00EA590A" w:rsidRDefault="006A41E2" w:rsidP="00912E10">
      <w:pPr>
        <w:pStyle w:val="Tiret0"/>
        <w:numPr>
          <w:ilvl w:val="0"/>
          <w:numId w:val="9"/>
        </w:numPr>
        <w:rPr>
          <w:noProof/>
          <w:sz w:val="22"/>
        </w:rPr>
      </w:pPr>
      <w:r w:rsidRPr="00EA590A">
        <w:rPr>
          <w:noProof/>
          <w:sz w:val="22"/>
        </w:rPr>
        <w:t>Sklad za azil, migracije in vključevanje ter Sklad za integrirano upravljanje meja, vključno z Instrumentom za finančno podporo za upravljanje meja in vizumsko politiko ter instrumentom za finančno podporo za opremo za carinske kontrole</w:t>
      </w:r>
      <w:r w:rsidR="00E9035B" w:rsidRPr="00EA590A">
        <w:rPr>
          <w:noProof/>
          <w:sz w:val="22"/>
        </w:rPr>
        <w:t>,</w:t>
      </w:r>
    </w:p>
    <w:p w14:paraId="5DED414A" w14:textId="77777777" w:rsidR="004630E2" w:rsidRPr="00EA590A" w:rsidRDefault="006A41E2" w:rsidP="00912E10">
      <w:pPr>
        <w:pStyle w:val="Tiret0"/>
        <w:numPr>
          <w:ilvl w:val="0"/>
          <w:numId w:val="9"/>
        </w:numPr>
        <w:rPr>
          <w:noProof/>
          <w:sz w:val="22"/>
        </w:rPr>
      </w:pPr>
      <w:r w:rsidRPr="00EA590A">
        <w:rPr>
          <w:noProof/>
          <w:sz w:val="22"/>
        </w:rPr>
        <w:t>kohezijski skladi, zlasti Evropski sklad za regionalni razvoj (ESRR)</w:t>
      </w:r>
      <w:r w:rsidR="00E9035B" w:rsidRPr="00EA590A">
        <w:rPr>
          <w:noProof/>
          <w:sz w:val="22"/>
        </w:rPr>
        <w:t>,</w:t>
      </w:r>
    </w:p>
    <w:p w14:paraId="71EE8DA5" w14:textId="77777777" w:rsidR="004630E2" w:rsidRPr="00EA590A" w:rsidRDefault="006A41E2" w:rsidP="00912E10">
      <w:pPr>
        <w:pStyle w:val="Tiret0"/>
        <w:numPr>
          <w:ilvl w:val="0"/>
          <w:numId w:val="9"/>
        </w:numPr>
        <w:rPr>
          <w:noProof/>
          <w:sz w:val="22"/>
        </w:rPr>
      </w:pPr>
      <w:r w:rsidRPr="00EA590A">
        <w:rPr>
          <w:noProof/>
          <w:sz w:val="22"/>
        </w:rPr>
        <w:t>del programa Obzorje Evropa, ki se nanaša na raziskave na področju varnosti</w:t>
      </w:r>
      <w:r w:rsidR="00E9035B" w:rsidRPr="00EA590A">
        <w:rPr>
          <w:noProof/>
          <w:sz w:val="22"/>
        </w:rPr>
        <w:t>,</w:t>
      </w:r>
    </w:p>
    <w:p w14:paraId="67BCE402" w14:textId="77777777" w:rsidR="004630E2" w:rsidRPr="00EA590A" w:rsidRDefault="006A41E2" w:rsidP="00912E10">
      <w:pPr>
        <w:pStyle w:val="Tiret0"/>
        <w:numPr>
          <w:ilvl w:val="0"/>
          <w:numId w:val="9"/>
        </w:numPr>
        <w:rPr>
          <w:noProof/>
          <w:sz w:val="22"/>
        </w:rPr>
      </w:pPr>
      <w:r w:rsidRPr="00EA590A">
        <w:rPr>
          <w:noProof/>
          <w:sz w:val="22"/>
        </w:rPr>
        <w:t>program Državljani, enakost, pravice in vrednote ter program za pravosodje</w:t>
      </w:r>
      <w:r w:rsidR="00E9035B" w:rsidRPr="00EA590A">
        <w:rPr>
          <w:noProof/>
          <w:sz w:val="22"/>
        </w:rPr>
        <w:t>,</w:t>
      </w:r>
    </w:p>
    <w:p w14:paraId="5483FE50" w14:textId="77777777" w:rsidR="004630E2" w:rsidRPr="00EA590A" w:rsidRDefault="006A41E2" w:rsidP="00912E10">
      <w:pPr>
        <w:pStyle w:val="Tiret0"/>
        <w:numPr>
          <w:ilvl w:val="0"/>
          <w:numId w:val="9"/>
        </w:numPr>
        <w:rPr>
          <w:noProof/>
          <w:sz w:val="22"/>
        </w:rPr>
      </w:pPr>
      <w:r w:rsidRPr="00EA590A">
        <w:rPr>
          <w:noProof/>
          <w:sz w:val="22"/>
        </w:rPr>
        <w:t>program Digitalna Evropa</w:t>
      </w:r>
      <w:r w:rsidR="00E9035B" w:rsidRPr="00EA590A">
        <w:rPr>
          <w:noProof/>
          <w:sz w:val="22"/>
        </w:rPr>
        <w:t>,</w:t>
      </w:r>
    </w:p>
    <w:p w14:paraId="66C017E1" w14:textId="77777777" w:rsidR="004630E2" w:rsidRPr="00EA590A" w:rsidRDefault="006A41E2" w:rsidP="00912E10">
      <w:pPr>
        <w:pStyle w:val="Tiret0"/>
        <w:numPr>
          <w:ilvl w:val="0"/>
          <w:numId w:val="9"/>
        </w:numPr>
        <w:rPr>
          <w:noProof/>
          <w:sz w:val="22"/>
        </w:rPr>
      </w:pPr>
      <w:r w:rsidRPr="00EA590A">
        <w:rPr>
          <w:noProof/>
          <w:sz w:val="22"/>
        </w:rPr>
        <w:t>program InvestEU</w:t>
      </w:r>
      <w:r w:rsidR="00E9035B" w:rsidRPr="00EA590A">
        <w:rPr>
          <w:noProof/>
          <w:sz w:val="22"/>
        </w:rPr>
        <w:t>,</w:t>
      </w:r>
    </w:p>
    <w:p w14:paraId="72610440" w14:textId="77777777" w:rsidR="004630E2" w:rsidRPr="00EA590A" w:rsidRDefault="006A41E2" w:rsidP="00912E10">
      <w:pPr>
        <w:pStyle w:val="Tiret0"/>
        <w:numPr>
          <w:ilvl w:val="0"/>
          <w:numId w:val="9"/>
        </w:numPr>
        <w:rPr>
          <w:noProof/>
          <w:sz w:val="22"/>
        </w:rPr>
      </w:pPr>
      <w:r w:rsidRPr="00EA590A">
        <w:rPr>
          <w:noProof/>
          <w:sz w:val="22"/>
        </w:rPr>
        <w:t>Instrument za tehnično podporo</w:t>
      </w:r>
      <w:r w:rsidR="00E9035B" w:rsidRPr="00EA590A">
        <w:rPr>
          <w:noProof/>
          <w:sz w:val="22"/>
        </w:rPr>
        <w:t>,</w:t>
      </w:r>
    </w:p>
    <w:p w14:paraId="0EED1293" w14:textId="77777777" w:rsidR="004630E2" w:rsidRPr="00EA590A" w:rsidRDefault="006A41E2" w:rsidP="00912E10">
      <w:pPr>
        <w:pStyle w:val="Tiret0"/>
        <w:numPr>
          <w:ilvl w:val="0"/>
          <w:numId w:val="9"/>
        </w:numPr>
        <w:rPr>
          <w:noProof/>
          <w:sz w:val="22"/>
        </w:rPr>
      </w:pPr>
      <w:r w:rsidRPr="00EA590A">
        <w:rPr>
          <w:noProof/>
          <w:sz w:val="22"/>
        </w:rPr>
        <w:t>rezerva rescEU</w:t>
      </w:r>
      <w:r w:rsidR="00E9035B" w:rsidRPr="00EA590A">
        <w:rPr>
          <w:noProof/>
          <w:sz w:val="22"/>
        </w:rPr>
        <w:t>,</w:t>
      </w:r>
    </w:p>
    <w:p w14:paraId="37EE46AD" w14:textId="77777777" w:rsidR="004630E2" w:rsidRPr="00EA590A" w:rsidRDefault="004630E2" w:rsidP="00912E10">
      <w:pPr>
        <w:pStyle w:val="Tiret0"/>
        <w:numPr>
          <w:ilvl w:val="0"/>
          <w:numId w:val="9"/>
        </w:numPr>
        <w:rPr>
          <w:noProof/>
          <w:sz w:val="22"/>
        </w:rPr>
      </w:pPr>
      <w:r w:rsidRPr="00EA590A">
        <w:rPr>
          <w:noProof/>
          <w:sz w:val="22"/>
        </w:rPr>
        <w:t>Instrument za sosedstvo ter razvojno in mednarodno sodelovanje (NDICI) – Globalna Evropa in</w:t>
      </w:r>
    </w:p>
    <w:p w14:paraId="4B1A3A4E" w14:textId="77777777" w:rsidR="004630E2" w:rsidRPr="00EA590A" w:rsidRDefault="004630E2" w:rsidP="00912E10">
      <w:pPr>
        <w:pStyle w:val="Tiret0"/>
        <w:numPr>
          <w:ilvl w:val="0"/>
          <w:numId w:val="9"/>
        </w:numPr>
        <w:rPr>
          <w:noProof/>
          <w:sz w:val="22"/>
        </w:rPr>
      </w:pPr>
      <w:r w:rsidRPr="00EA590A">
        <w:rPr>
          <w:noProof/>
          <w:sz w:val="22"/>
        </w:rPr>
        <w:t xml:space="preserve">instrument za predpristopno pomoč (IPA). </w:t>
      </w:r>
    </w:p>
    <w:p w14:paraId="483BABE9" w14:textId="77777777" w:rsidR="006A41E2" w:rsidRPr="00EA590A" w:rsidRDefault="0060652B" w:rsidP="006A41E2">
      <w:pPr>
        <w:rPr>
          <w:noProof/>
          <w:sz w:val="22"/>
        </w:rPr>
      </w:pPr>
      <w:r w:rsidRPr="00EA590A">
        <w:rPr>
          <w:noProof/>
          <w:sz w:val="22"/>
        </w:rPr>
        <w:t>Posebno pozornost namenite:</w:t>
      </w:r>
    </w:p>
    <w:p w14:paraId="343EE0DD" w14:textId="77777777" w:rsidR="006A41E2" w:rsidRPr="00EA590A" w:rsidRDefault="007261C3" w:rsidP="00EC5A18">
      <w:pPr>
        <w:pStyle w:val="Tiret0"/>
        <w:numPr>
          <w:ilvl w:val="0"/>
          <w:numId w:val="11"/>
        </w:numPr>
        <w:rPr>
          <w:noProof/>
          <w:sz w:val="22"/>
        </w:rPr>
      </w:pPr>
      <w:r w:rsidRPr="00EA590A">
        <w:rPr>
          <w:noProof/>
          <w:sz w:val="22"/>
        </w:rPr>
        <w:t>dopolnjevanju z instrumenti Unije za zunanje financiranje za ukrepe, ki se izvajajo v tretjih državah ali v zvezi z njimi, s poudarkom na vidikih, ki so skladni z načeli in splošnimi cilji zunanje politike Unije, ter</w:t>
      </w:r>
    </w:p>
    <w:p w14:paraId="6B45423E" w14:textId="77777777" w:rsidR="006A41E2" w:rsidRPr="00EA590A" w:rsidRDefault="006A41E2" w:rsidP="00EC5A18">
      <w:pPr>
        <w:pStyle w:val="Tiret0"/>
        <w:numPr>
          <w:ilvl w:val="0"/>
          <w:numId w:val="11"/>
        </w:numPr>
        <w:rPr>
          <w:noProof/>
          <w:sz w:val="22"/>
        </w:rPr>
      </w:pPr>
      <w:r w:rsidRPr="00EA590A">
        <w:rPr>
          <w:noProof/>
          <w:sz w:val="22"/>
        </w:rPr>
        <w:t>uporabi omogočitvenih mehanizmov, kot so organizacijske in postopkovne ureditve, ki pomagajo doseči dopolnjevanje in, če je ustrezno, sinergije, ter morebitnim ukrepom, sprejetim za njihovo izboljšanje med obračunskim letom.</w:t>
      </w:r>
    </w:p>
    <w:p w14:paraId="5B0B3B0F" w14:textId="77777777" w:rsidR="00397A63" w:rsidRPr="00EA590A" w:rsidRDefault="00397A63" w:rsidP="00397A63">
      <w:pPr>
        <w:rPr>
          <w:noProof/>
          <w:sz w:val="22"/>
        </w:rPr>
      </w:pPr>
      <w:r w:rsidRPr="00EA590A">
        <w:rPr>
          <w:noProof/>
          <w:sz w:val="22"/>
        </w:rPr>
        <w:t>Če je ustrezno, opišite tudi:</w:t>
      </w:r>
    </w:p>
    <w:p w14:paraId="58E59613" w14:textId="77777777" w:rsidR="00397A63" w:rsidRPr="00EA590A" w:rsidRDefault="00397A63" w:rsidP="00EC5A18">
      <w:pPr>
        <w:pStyle w:val="Tiret0"/>
        <w:numPr>
          <w:ilvl w:val="0"/>
          <w:numId w:val="11"/>
        </w:numPr>
        <w:rPr>
          <w:noProof/>
          <w:sz w:val="22"/>
        </w:rPr>
      </w:pPr>
      <w:r w:rsidRPr="00EA590A">
        <w:rPr>
          <w:noProof/>
          <w:sz w:val="22"/>
        </w:rPr>
        <w:t>dopolnjevanje dejavnosti, ki se izvajajo z vidika krepitve medagencijskega sodelovanja</w:t>
      </w:r>
      <w:r w:rsidRPr="00EA590A">
        <w:rPr>
          <w:rStyle w:val="Sprotnaopomba-sklic"/>
          <w:noProof/>
          <w:sz w:val="22"/>
        </w:rPr>
        <w:footnoteReference w:id="18"/>
      </w:r>
      <w:r w:rsidR="00E9035B" w:rsidRPr="00EA590A">
        <w:rPr>
          <w:noProof/>
          <w:sz w:val="22"/>
        </w:rPr>
        <w:t>,</w:t>
      </w:r>
    </w:p>
    <w:p w14:paraId="7ABB38C1" w14:textId="77777777" w:rsidR="00397A63" w:rsidRPr="00EA590A" w:rsidRDefault="00397A63" w:rsidP="00EC5A18">
      <w:pPr>
        <w:pStyle w:val="Tiret0"/>
        <w:numPr>
          <w:ilvl w:val="0"/>
          <w:numId w:val="11"/>
        </w:numPr>
        <w:rPr>
          <w:noProof/>
          <w:sz w:val="22"/>
        </w:rPr>
      </w:pPr>
      <w:r w:rsidRPr="00EA590A">
        <w:rPr>
          <w:noProof/>
          <w:sz w:val="22"/>
        </w:rPr>
        <w:t>sinergije v zvezi z varnostjo infrastrukture in javnih prostorov, kibernetsko varnostjo, zaščito žrtev in preprečevanjem radikalizacije.</w:t>
      </w:r>
    </w:p>
    <w:tbl>
      <w:tblPr>
        <w:tblStyle w:val="Tabelamrea"/>
        <w:tblW w:w="0" w:type="auto"/>
        <w:tblLook w:val="04A0" w:firstRow="1" w:lastRow="0" w:firstColumn="1" w:lastColumn="0" w:noHBand="0" w:noVBand="1"/>
      </w:tblPr>
      <w:tblGrid>
        <w:gridCol w:w="9063"/>
      </w:tblGrid>
      <w:tr w:rsidR="00EA590A" w:rsidRPr="00EA590A" w14:paraId="7604A2E5" w14:textId="77777777" w:rsidTr="001A2CE3">
        <w:tc>
          <w:tcPr>
            <w:tcW w:w="9289" w:type="dxa"/>
          </w:tcPr>
          <w:p w14:paraId="0889969B" w14:textId="77777777" w:rsidR="00BA44BD" w:rsidRPr="00EA590A" w:rsidRDefault="00BA44BD" w:rsidP="00BA44BD">
            <w:pPr>
              <w:rPr>
                <w:sz w:val="22"/>
              </w:rPr>
            </w:pPr>
            <w:r w:rsidRPr="00EA590A">
              <w:rPr>
                <w:sz w:val="22"/>
              </w:rPr>
              <w:t>OU daje velik pomen spremljanju dopolnjevanj operacij programa SNV z drugimi operacijami, EU programi ali viri financiranja ter nacionalnimi sredstvi. Upravičenci v fazi prijave navedejo morebitna dopolnjevanja z drugimi operacijami, kar tudi kasneje, v fazi izvajanja operacij, pri vsakem zahtevku za povračilo poročajo.</w:t>
            </w:r>
          </w:p>
          <w:p w14:paraId="216365A4" w14:textId="77777777" w:rsidR="00BA44BD" w:rsidRPr="00EA590A" w:rsidRDefault="00BA44BD" w:rsidP="00BA44BD">
            <w:pPr>
              <w:rPr>
                <w:sz w:val="22"/>
              </w:rPr>
            </w:pPr>
            <w:r w:rsidRPr="00EA590A">
              <w:rPr>
                <w:sz w:val="22"/>
              </w:rPr>
              <w:t>Na podlagi podatkov, ki jih posredujejo upravičenci, je zaznano predvsem dopolnjevanje med operacijami, ki se izvajajo znotraj istega programa. Operacije programa SNV, usmerjene v krepitev operativnega sodelovanja z državami članicami EU in državami Zahodnega Balkana, se vsebinsko in funkcionalno dopolnjujejo z operacijami istega programa, ki so namenjene učinkovitemu izvajanju prikritih preiskovalnih ukrepov za boj proti hudim in organiziranim oblikam čezmejne kriminalitete. Takšen pristop omogoča usklajeno izvajanje strateških in operativnih aktivnosti brez podvajanja.</w:t>
            </w:r>
          </w:p>
          <w:p w14:paraId="7D3F1A4B" w14:textId="77777777" w:rsidR="00BA44BD" w:rsidRPr="00EA590A" w:rsidRDefault="00BA44BD" w:rsidP="00BA44BD">
            <w:pPr>
              <w:rPr>
                <w:sz w:val="22"/>
              </w:rPr>
            </w:pPr>
            <w:r w:rsidRPr="00EA590A">
              <w:rPr>
                <w:sz w:val="22"/>
              </w:rPr>
              <w:t>Zaznano je tudi izrazito dopolnjevanje med različnimi programi EU, zlasti med programoma SNV in IUMV. Operacije programa SNV, ki so usmerjene v odkrivanje in preiskovanje kaznivih dejanj, povezanih z ilegalnimi migracijami in čezmejno kriminaliteto, se dopolnjujejo z operacijami programa IUMV, ki so namenjene izvajanju evropskega integriranega upravljanja meja na zunanjih mejah EU. S tem se zagotavlja celovit pristop k preprečevanju nedovoljenih prehodov meja, nezakonitega priseljevanja in povezanih kaznivih dejanj.</w:t>
            </w:r>
          </w:p>
          <w:p w14:paraId="78E0A7A7" w14:textId="77777777" w:rsidR="00BA44BD" w:rsidRPr="00EA590A" w:rsidRDefault="00BA44BD" w:rsidP="00BA44BD">
            <w:pPr>
              <w:rPr>
                <w:sz w:val="22"/>
              </w:rPr>
            </w:pPr>
            <w:r w:rsidRPr="00EA590A">
              <w:rPr>
                <w:sz w:val="22"/>
              </w:rPr>
              <w:t>Gledano širše se operacije programov SNV in IUMV, ki se nanašajo na zajezitev ilegalnih migracij, dopolnjujejo tudi z operacijami programa AMIF, zlasti v delu, ki se nanaša na postopke mednarodne zaščite in postopke s tujci. Tako je zagotovljeno, da se varnostni, upravni in integracijski vidiki migracijskih politik EU izvajajo usklajeno in brez prekrivanja.</w:t>
            </w:r>
          </w:p>
          <w:p w14:paraId="5D8CADF9" w14:textId="77777777" w:rsidR="00BA44BD" w:rsidRPr="00EA590A" w:rsidRDefault="00BA44BD" w:rsidP="00BA44BD">
            <w:pPr>
              <w:rPr>
                <w:sz w:val="22"/>
              </w:rPr>
            </w:pPr>
            <w:r w:rsidRPr="00EA590A">
              <w:rPr>
                <w:sz w:val="22"/>
              </w:rPr>
              <w:t>Za zaznavanje širšega dopolnjevanja je OU vzpostavil sistematičen pristop k pridobivanju informacij o financiranju iz drugih virov EU. V ta namen sodeluje z organi upravljanja in posredniškimi telesi drugih programov, pridobiva informacije iz nevladnega sektorja ter preverja javno dostopne informacije o sofinanciranih projektih.</w:t>
            </w:r>
          </w:p>
          <w:p w14:paraId="78FB107B" w14:textId="77777777" w:rsidR="00BA44BD" w:rsidRPr="00EA590A" w:rsidRDefault="00BA44BD" w:rsidP="00BA44BD">
            <w:pPr>
              <w:rPr>
                <w:sz w:val="22"/>
              </w:rPr>
            </w:pPr>
            <w:r w:rsidRPr="00EA590A">
              <w:rPr>
                <w:sz w:val="22"/>
              </w:rPr>
              <w:t>Na podlagi zbranih podatkov je ugotovljeno, da se operacije programa SNV dopolnjujejo predvsem s projekti, financiranimi iz centraliziranih programov EU, zlasti programa Obzorje Evropa. Vsebinsko dopolnjevanje je zaznano pri projektih, ki razvijajo inovativna, napredna orodja in tehnologije za organe pregona (npr. OSINT RADAR in ARIEN), medtem ko operacije programa SNV omogočajo njihovo operativno uporabo, testiranje in vključevanje v nacionalno okolje.</w:t>
            </w:r>
          </w:p>
          <w:p w14:paraId="52B43585" w14:textId="77777777" w:rsidR="00BA44BD" w:rsidRPr="00EA590A" w:rsidRDefault="00BA44BD" w:rsidP="00BA44BD">
            <w:pPr>
              <w:rPr>
                <w:sz w:val="22"/>
              </w:rPr>
            </w:pPr>
            <w:r w:rsidRPr="00EA590A">
              <w:rPr>
                <w:sz w:val="22"/>
              </w:rPr>
              <w:t xml:space="preserve">Zaznana so tudi dopolnjevanja in </w:t>
            </w:r>
            <w:proofErr w:type="spellStart"/>
            <w:r w:rsidRPr="00EA590A">
              <w:rPr>
                <w:sz w:val="22"/>
              </w:rPr>
              <w:t>sinergijski</w:t>
            </w:r>
            <w:proofErr w:type="spellEnd"/>
            <w:r w:rsidRPr="00EA590A">
              <w:rPr>
                <w:sz w:val="22"/>
              </w:rPr>
              <w:t xml:space="preserve"> učinki operacij, ki se usmerjajo na aplikativne rešitve, programsko opremo in povečanje zmogljivosti podatkovnega in govornega omrežja, z razvojem, nadgradnjami in vzdrževanjem centralne strežniške platforme CEPIS, ki se financira iz Načrta za okrevanje in odpornost </w:t>
            </w:r>
            <w:proofErr w:type="spellStart"/>
            <w:r w:rsidRPr="00EA590A">
              <w:rPr>
                <w:sz w:val="22"/>
              </w:rPr>
              <w:t>NextGenerationEU</w:t>
            </w:r>
            <w:proofErr w:type="spellEnd"/>
            <w:r w:rsidRPr="00EA590A">
              <w:rPr>
                <w:sz w:val="22"/>
              </w:rPr>
              <w:t>.</w:t>
            </w:r>
          </w:p>
          <w:p w14:paraId="66760C73" w14:textId="77777777" w:rsidR="00BA44BD" w:rsidRPr="00EA590A" w:rsidRDefault="00BA44BD" w:rsidP="00BA44BD">
            <w:pPr>
              <w:rPr>
                <w:sz w:val="22"/>
              </w:rPr>
            </w:pPr>
            <w:r w:rsidRPr="00EA590A">
              <w:rPr>
                <w:sz w:val="22"/>
              </w:rPr>
              <w:t>Dopolnjevanje je zaznano tudi pri projektih, ki so financirani iz drugih virov EU in so usmerjeni v krepitev zmogljivosti na področju kritične infrastrukture, kjer operacije programa SNV prispevajo k varnostnemu in operativnemu vidiku izvajanja nacionalnih nalog.</w:t>
            </w:r>
          </w:p>
          <w:p w14:paraId="07E84DFD" w14:textId="425E859A" w:rsidR="00324387" w:rsidRPr="00EA590A" w:rsidRDefault="00BA44BD" w:rsidP="00BA44BD">
            <w:pPr>
              <w:rPr>
                <w:sz w:val="22"/>
              </w:rPr>
            </w:pPr>
            <w:r w:rsidRPr="00EA590A">
              <w:rPr>
                <w:sz w:val="22"/>
              </w:rPr>
              <w:t xml:space="preserve">Vzpostavljeni mehanizmi zagotavljajo, da se dopolnjevanje med programi in viri financiranja sistematično spremlja in dokumentira. S tem se preprečuje dvojno financiranje ter hkrati spodbuja učinkovita uporaba sredstev EU in sinergije med programi v skladu s cilji in prioritetami </w:t>
            </w:r>
            <w:r w:rsidR="009B178A" w:rsidRPr="00EA590A">
              <w:rPr>
                <w:sz w:val="22"/>
              </w:rPr>
              <w:t>EU.</w:t>
            </w:r>
          </w:p>
        </w:tc>
      </w:tr>
    </w:tbl>
    <w:p w14:paraId="2AEA300A" w14:textId="77777777" w:rsidR="008671BE" w:rsidRPr="00EA590A" w:rsidRDefault="00C30ACF" w:rsidP="00C30ACF">
      <w:pPr>
        <w:pStyle w:val="ManualHeading2"/>
        <w:rPr>
          <w:noProof/>
          <w:sz w:val="22"/>
        </w:rPr>
      </w:pPr>
      <w:r w:rsidRPr="00EA590A">
        <w:rPr>
          <w:sz w:val="22"/>
        </w:rPr>
        <w:t>2.2.</w:t>
      </w:r>
      <w:r w:rsidRPr="00EA590A">
        <w:rPr>
          <w:sz w:val="22"/>
        </w:rPr>
        <w:tab/>
      </w:r>
      <w:r w:rsidR="008671BE" w:rsidRPr="00EA590A">
        <w:rPr>
          <w:noProof/>
          <w:sz w:val="22"/>
        </w:rPr>
        <w:t xml:space="preserve">Večnamenska oprema in sistemi IKT – člen 5(4) Uredbe (EU) 2021/1149 </w:t>
      </w:r>
    </w:p>
    <w:p w14:paraId="7541CB6B" w14:textId="77777777" w:rsidR="008671BE" w:rsidRPr="00EA590A" w:rsidRDefault="00621FCD" w:rsidP="008671BE">
      <w:pPr>
        <w:rPr>
          <w:noProof/>
          <w:sz w:val="22"/>
        </w:rPr>
      </w:pPr>
      <w:r w:rsidRPr="00EA590A">
        <w:rPr>
          <w:noProof/>
          <w:sz w:val="22"/>
        </w:rPr>
        <w:t xml:space="preserve">Na kratko opišite ustrezne operacije, ki vključujejo opremo in sisteme IKT, nabavljene v okviru programa in delno uporabljene na dopolnilnem področju iz Uredbe (EU) 2021/1148 ter za doseganje ciljev Instrumenta za finančno podporo za upravljanje meja in vizumsko politiko. Navedite kraje, kjer so bili večnamenska oprema in sistemi IKT uporabljeni. </w:t>
      </w:r>
    </w:p>
    <w:p w14:paraId="7825B543" w14:textId="77777777" w:rsidR="008671BE" w:rsidRPr="00EA590A" w:rsidRDefault="00DF1E54" w:rsidP="008671BE">
      <w:pPr>
        <w:rPr>
          <w:noProof/>
          <w:sz w:val="22"/>
        </w:rPr>
      </w:pPr>
      <w:r w:rsidRPr="00EA590A">
        <w:rPr>
          <w:noProof/>
          <w:sz w:val="22"/>
        </w:rPr>
        <w:t xml:space="preserve">Za opremo navedite tudi informacije o obdobju njene uporabe na dopolnilnih področjih Instrumenta za finančno podporo za upravljanje meja in vizumsko politiko. </w:t>
      </w:r>
    </w:p>
    <w:tbl>
      <w:tblPr>
        <w:tblStyle w:val="Tabelamrea"/>
        <w:tblW w:w="0" w:type="auto"/>
        <w:tblLook w:val="04A0" w:firstRow="1" w:lastRow="0" w:firstColumn="1" w:lastColumn="0" w:noHBand="0" w:noVBand="1"/>
      </w:tblPr>
      <w:tblGrid>
        <w:gridCol w:w="9063"/>
      </w:tblGrid>
      <w:tr w:rsidR="00EA590A" w:rsidRPr="00EA590A" w14:paraId="1657D850" w14:textId="77777777" w:rsidTr="0059250C">
        <w:tc>
          <w:tcPr>
            <w:tcW w:w="9289" w:type="dxa"/>
          </w:tcPr>
          <w:p w14:paraId="59A7D309" w14:textId="5BF723E9" w:rsidR="00324387" w:rsidRPr="00EA590A" w:rsidRDefault="00033623" w:rsidP="001B5FCC">
            <w:pPr>
              <w:pStyle w:val="Personnequisigne"/>
              <w:jc w:val="both"/>
              <w:rPr>
                <w:i w:val="0"/>
                <w:noProof/>
                <w:sz w:val="22"/>
              </w:rPr>
            </w:pPr>
            <w:r w:rsidRPr="00EA590A">
              <w:rPr>
                <w:i w:val="0"/>
                <w:noProof/>
                <w:sz w:val="22"/>
              </w:rPr>
              <w:t>Slovenija je v obračunskem obdobju začela izvajati aktivnosti v okviru programa SNV, vendar v tem obdobju še ni bila nabavljena večnamenska oprema ali IKT sistemi iz sredstev SNV, ki bi se uporabljali na dopolnilnih področjih Instrumenta za finančno podporo za upravljanje meja in vizumsko politiko, zato o takšni uporabi še ne moremo poročati.</w:t>
            </w:r>
            <w:r w:rsidR="00B31BAA" w:rsidRPr="00EA590A">
              <w:rPr>
                <w:i w:val="0"/>
                <w:noProof/>
                <w:sz w:val="22"/>
              </w:rPr>
              <w:t xml:space="preserve"> </w:t>
            </w:r>
          </w:p>
        </w:tc>
      </w:tr>
    </w:tbl>
    <w:p w14:paraId="431238F3" w14:textId="77777777" w:rsidR="006A41E2" w:rsidRPr="00EA590A" w:rsidRDefault="00BC294D" w:rsidP="00BC294D">
      <w:pPr>
        <w:rPr>
          <w:noProof/>
          <w:sz w:val="22"/>
        </w:rPr>
      </w:pPr>
      <w:r w:rsidRPr="00EA590A">
        <w:rPr>
          <w:noProof/>
          <w:sz w:val="22"/>
        </w:rPr>
        <w:t>Za informacijski sistem Unije, ki se financira na podlagi Uredbe (EU) 2021/1149 in služi tudi ciljem Uredbe (EU) 2021/1148 (večnamenski) ali dejavnostim, ki se zahtevajo v pravnem okviru EU za interoperabilnost</w:t>
      </w:r>
      <w:r w:rsidRPr="00EA590A">
        <w:rPr>
          <w:rStyle w:val="Sprotnaopomba-sklic"/>
          <w:noProof/>
          <w:sz w:val="22"/>
        </w:rPr>
        <w:footnoteReference w:id="19"/>
      </w:r>
      <w:r w:rsidRPr="00EA590A">
        <w:rPr>
          <w:noProof/>
          <w:sz w:val="22"/>
        </w:rPr>
        <w:t xml:space="preserve">, izpolnite spodnjo preglednico. </w:t>
      </w:r>
    </w:p>
    <w:tbl>
      <w:tblPr>
        <w:tblStyle w:val="Tabelamrea"/>
        <w:tblW w:w="9289" w:type="dxa"/>
        <w:tblLayout w:type="fixed"/>
        <w:tblCellMar>
          <w:left w:w="28" w:type="dxa"/>
          <w:right w:w="28" w:type="dxa"/>
        </w:tblCellMar>
        <w:tblLook w:val="04A0" w:firstRow="1" w:lastRow="0" w:firstColumn="1" w:lastColumn="0" w:noHBand="0" w:noVBand="1"/>
      </w:tblPr>
      <w:tblGrid>
        <w:gridCol w:w="879"/>
        <w:gridCol w:w="1384"/>
        <w:gridCol w:w="1026"/>
        <w:gridCol w:w="1275"/>
        <w:gridCol w:w="1134"/>
        <w:gridCol w:w="818"/>
        <w:gridCol w:w="1530"/>
        <w:gridCol w:w="1243"/>
      </w:tblGrid>
      <w:tr w:rsidR="00EA590A" w:rsidRPr="00EA590A" w14:paraId="4283FC2C" w14:textId="77777777" w:rsidTr="00A95416">
        <w:trPr>
          <w:trHeight w:val="688"/>
        </w:trPr>
        <w:tc>
          <w:tcPr>
            <w:tcW w:w="879" w:type="dxa"/>
            <w:vAlign w:val="center"/>
          </w:tcPr>
          <w:p w14:paraId="2D1F8B7C" w14:textId="77777777" w:rsidR="006A41E2" w:rsidRPr="00EA590A" w:rsidRDefault="006A41E2" w:rsidP="00E45665">
            <w:pPr>
              <w:pStyle w:val="Institutionquisigne"/>
              <w:spacing w:before="0"/>
              <w:jc w:val="center"/>
              <w:rPr>
                <w:i w:val="0"/>
                <w:noProof/>
                <w:sz w:val="22"/>
              </w:rPr>
            </w:pPr>
            <w:r w:rsidRPr="00EA590A">
              <w:rPr>
                <w:i w:val="0"/>
                <w:noProof/>
                <w:sz w:val="22"/>
              </w:rPr>
              <w:t>Specifični cilj</w:t>
            </w:r>
          </w:p>
        </w:tc>
        <w:tc>
          <w:tcPr>
            <w:tcW w:w="1384" w:type="dxa"/>
            <w:vAlign w:val="center"/>
          </w:tcPr>
          <w:p w14:paraId="2E36D948" w14:textId="77777777" w:rsidR="006A41E2" w:rsidRPr="00EA590A" w:rsidRDefault="006A41E2" w:rsidP="00E45665">
            <w:pPr>
              <w:pStyle w:val="Institutionquisigne"/>
              <w:spacing w:before="0"/>
              <w:jc w:val="center"/>
              <w:rPr>
                <w:i w:val="0"/>
                <w:noProof/>
                <w:sz w:val="22"/>
              </w:rPr>
            </w:pPr>
            <w:r w:rsidRPr="00EA590A">
              <w:rPr>
                <w:i w:val="0"/>
                <w:noProof/>
                <w:sz w:val="22"/>
              </w:rPr>
              <w:t>Ime operacije</w:t>
            </w:r>
          </w:p>
        </w:tc>
        <w:tc>
          <w:tcPr>
            <w:tcW w:w="1026" w:type="dxa"/>
            <w:vAlign w:val="center"/>
          </w:tcPr>
          <w:p w14:paraId="093A72B4" w14:textId="77777777" w:rsidR="006A41E2" w:rsidRPr="00EA590A" w:rsidRDefault="006A41E2" w:rsidP="00E45665">
            <w:pPr>
              <w:pStyle w:val="Institutionquisigne"/>
              <w:spacing w:before="0"/>
              <w:jc w:val="center"/>
              <w:rPr>
                <w:i w:val="0"/>
                <w:noProof/>
                <w:sz w:val="22"/>
              </w:rPr>
            </w:pPr>
            <w:r w:rsidRPr="00EA590A">
              <w:rPr>
                <w:i w:val="0"/>
                <w:noProof/>
                <w:sz w:val="22"/>
              </w:rPr>
              <w:t>Upravičenec operacije</w:t>
            </w:r>
          </w:p>
        </w:tc>
        <w:tc>
          <w:tcPr>
            <w:tcW w:w="1275" w:type="dxa"/>
            <w:vAlign w:val="center"/>
          </w:tcPr>
          <w:p w14:paraId="224F2B2D" w14:textId="77777777" w:rsidR="006A41E2" w:rsidRPr="00EA590A" w:rsidRDefault="006A41E2" w:rsidP="006A41E2">
            <w:pPr>
              <w:pStyle w:val="Institutionquisigne"/>
              <w:spacing w:before="0"/>
              <w:jc w:val="center"/>
              <w:rPr>
                <w:i w:val="0"/>
                <w:noProof/>
                <w:sz w:val="22"/>
              </w:rPr>
            </w:pPr>
            <w:r w:rsidRPr="00EA590A">
              <w:rPr>
                <w:i w:val="0"/>
                <w:noProof/>
                <w:sz w:val="22"/>
              </w:rPr>
              <w:t>Cilj operacije</w:t>
            </w:r>
          </w:p>
        </w:tc>
        <w:tc>
          <w:tcPr>
            <w:tcW w:w="1134" w:type="dxa"/>
            <w:vAlign w:val="center"/>
          </w:tcPr>
          <w:p w14:paraId="52381146" w14:textId="77777777" w:rsidR="006A41E2" w:rsidRPr="00EA590A" w:rsidRDefault="006A41E2" w:rsidP="00E45665">
            <w:pPr>
              <w:pStyle w:val="Institutionquisigne"/>
              <w:spacing w:before="0"/>
              <w:jc w:val="center"/>
              <w:rPr>
                <w:i w:val="0"/>
                <w:noProof/>
                <w:sz w:val="22"/>
              </w:rPr>
            </w:pPr>
            <w:r w:rsidRPr="00EA590A">
              <w:rPr>
                <w:i w:val="0"/>
                <w:noProof/>
                <w:sz w:val="22"/>
              </w:rPr>
              <w:t>Obdobje izvajanja</w:t>
            </w:r>
          </w:p>
        </w:tc>
        <w:tc>
          <w:tcPr>
            <w:tcW w:w="818" w:type="dxa"/>
            <w:vAlign w:val="center"/>
          </w:tcPr>
          <w:p w14:paraId="4BFB7F8C" w14:textId="77777777" w:rsidR="006A41E2" w:rsidRPr="00EA590A" w:rsidRDefault="006A41E2" w:rsidP="00E45665">
            <w:pPr>
              <w:pStyle w:val="Institutionquisigne"/>
              <w:spacing w:before="0"/>
              <w:jc w:val="center"/>
              <w:rPr>
                <w:i w:val="0"/>
                <w:noProof/>
                <w:sz w:val="22"/>
              </w:rPr>
            </w:pPr>
            <w:r w:rsidRPr="00EA590A">
              <w:rPr>
                <w:i w:val="0"/>
                <w:noProof/>
                <w:sz w:val="22"/>
              </w:rPr>
              <w:t>Stopnja sofinanciranja</w:t>
            </w:r>
          </w:p>
        </w:tc>
        <w:tc>
          <w:tcPr>
            <w:tcW w:w="1530" w:type="dxa"/>
            <w:vAlign w:val="center"/>
          </w:tcPr>
          <w:p w14:paraId="0A5904E4" w14:textId="77777777" w:rsidR="006A41E2" w:rsidRPr="00EA590A" w:rsidRDefault="006A41E2" w:rsidP="00E45665">
            <w:pPr>
              <w:pStyle w:val="Institutionquisigne"/>
              <w:spacing w:before="0"/>
              <w:jc w:val="center"/>
              <w:rPr>
                <w:i w:val="0"/>
                <w:noProof/>
                <w:sz w:val="22"/>
              </w:rPr>
            </w:pPr>
            <w:r w:rsidRPr="00EA590A">
              <w:rPr>
                <w:i w:val="0"/>
                <w:noProof/>
                <w:sz w:val="22"/>
              </w:rPr>
              <w:t>Upravičeni stroški</w:t>
            </w:r>
            <w:r w:rsidRPr="00EA590A">
              <w:rPr>
                <w:rStyle w:val="Sprotnaopomba-sklic"/>
                <w:i w:val="0"/>
                <w:noProof/>
                <w:sz w:val="22"/>
              </w:rPr>
              <w:footnoteReference w:id="20"/>
            </w:r>
          </w:p>
        </w:tc>
        <w:tc>
          <w:tcPr>
            <w:tcW w:w="1243" w:type="dxa"/>
            <w:vAlign w:val="center"/>
          </w:tcPr>
          <w:p w14:paraId="141D48F1" w14:textId="77777777" w:rsidR="006A41E2" w:rsidRPr="00EA590A" w:rsidRDefault="006A41E2" w:rsidP="00E45665">
            <w:pPr>
              <w:pStyle w:val="Institutionquisigne"/>
              <w:spacing w:before="0"/>
              <w:jc w:val="center"/>
              <w:rPr>
                <w:i w:val="0"/>
                <w:noProof/>
                <w:sz w:val="22"/>
              </w:rPr>
            </w:pPr>
            <w:r w:rsidRPr="00EA590A">
              <w:rPr>
                <w:i w:val="0"/>
                <w:noProof/>
                <w:sz w:val="22"/>
              </w:rPr>
              <w:t>Upravičeni izdatki</w:t>
            </w:r>
            <w:r w:rsidRPr="00EA590A">
              <w:rPr>
                <w:rStyle w:val="Sprotnaopomba-sklic"/>
                <w:i w:val="0"/>
                <w:noProof/>
                <w:sz w:val="22"/>
              </w:rPr>
              <w:footnoteReference w:id="21"/>
            </w:r>
          </w:p>
        </w:tc>
      </w:tr>
      <w:tr w:rsidR="00EA590A" w:rsidRPr="00EA590A" w14:paraId="6E07A122" w14:textId="77777777" w:rsidTr="00A95416">
        <w:trPr>
          <w:trHeight w:val="255"/>
        </w:trPr>
        <w:tc>
          <w:tcPr>
            <w:tcW w:w="879" w:type="dxa"/>
            <w:vAlign w:val="center"/>
          </w:tcPr>
          <w:p w14:paraId="5C6E0DC8" w14:textId="4FE734DD" w:rsidR="00A95416" w:rsidRPr="00EA590A" w:rsidRDefault="00A95416" w:rsidP="00A95416">
            <w:pPr>
              <w:pStyle w:val="Institutionquisigne"/>
              <w:spacing w:before="0"/>
              <w:jc w:val="center"/>
              <w:rPr>
                <w:i w:val="0"/>
                <w:noProof/>
                <w:sz w:val="22"/>
              </w:rPr>
            </w:pPr>
            <w:r w:rsidRPr="00EA590A">
              <w:rPr>
                <w:i w:val="0"/>
                <w:noProof/>
                <w:sz w:val="20"/>
                <w:szCs w:val="20"/>
              </w:rPr>
              <w:t>SO1</w:t>
            </w:r>
          </w:p>
        </w:tc>
        <w:tc>
          <w:tcPr>
            <w:tcW w:w="1384" w:type="dxa"/>
            <w:vAlign w:val="center"/>
          </w:tcPr>
          <w:p w14:paraId="73E3F05A" w14:textId="77777777" w:rsidR="00A95416" w:rsidRPr="00EA590A" w:rsidRDefault="00A95416" w:rsidP="00A95416">
            <w:pPr>
              <w:spacing w:before="0" w:after="0"/>
              <w:rPr>
                <w:sz w:val="20"/>
                <w:szCs w:val="20"/>
              </w:rPr>
            </w:pPr>
            <w:r w:rsidRPr="00EA590A">
              <w:rPr>
                <w:sz w:val="20"/>
                <w:szCs w:val="20"/>
              </w:rPr>
              <w:t>I.SO1.1.30-01A Povečanje zmogljivosti in posodobitev podatkovnega in govornega omrežja Policije</w:t>
            </w:r>
          </w:p>
          <w:p w14:paraId="05139DC8" w14:textId="57E0DE27" w:rsidR="00A95416" w:rsidRPr="00EA590A" w:rsidRDefault="00A95416" w:rsidP="00A95416">
            <w:pPr>
              <w:pStyle w:val="Institutionquisigne"/>
              <w:spacing w:before="0"/>
              <w:jc w:val="center"/>
              <w:rPr>
                <w:noProof/>
                <w:sz w:val="22"/>
              </w:rPr>
            </w:pPr>
          </w:p>
        </w:tc>
        <w:tc>
          <w:tcPr>
            <w:tcW w:w="1026" w:type="dxa"/>
            <w:vAlign w:val="center"/>
          </w:tcPr>
          <w:p w14:paraId="5C98B940" w14:textId="0A88A662" w:rsidR="00A95416" w:rsidRPr="00EA590A" w:rsidRDefault="00A95416" w:rsidP="00A95416">
            <w:pPr>
              <w:pStyle w:val="Institutionquisigne"/>
              <w:spacing w:before="0"/>
              <w:jc w:val="center"/>
              <w:rPr>
                <w:noProof/>
                <w:sz w:val="22"/>
              </w:rPr>
            </w:pPr>
            <w:r w:rsidRPr="00EA590A">
              <w:rPr>
                <w:i w:val="0"/>
                <w:noProof/>
                <w:sz w:val="20"/>
                <w:szCs w:val="20"/>
              </w:rPr>
              <w:t>Policija - Urad za informatiko in telekomunikacije</w:t>
            </w:r>
          </w:p>
        </w:tc>
        <w:tc>
          <w:tcPr>
            <w:tcW w:w="1275" w:type="dxa"/>
            <w:vAlign w:val="center"/>
          </w:tcPr>
          <w:p w14:paraId="6A07C3E9" w14:textId="3763B07B" w:rsidR="00A95416" w:rsidRPr="00EA590A" w:rsidRDefault="00A95416" w:rsidP="00A95416">
            <w:pPr>
              <w:pStyle w:val="Institutionquisigne"/>
              <w:spacing w:before="0"/>
              <w:jc w:val="center"/>
              <w:rPr>
                <w:noProof/>
                <w:sz w:val="22"/>
              </w:rPr>
            </w:pPr>
            <w:r w:rsidRPr="00EA590A">
              <w:rPr>
                <w:i w:val="0"/>
                <w:noProof/>
                <w:sz w:val="20"/>
                <w:szCs w:val="20"/>
              </w:rPr>
              <w:t>Policijsko sodelovanje ali sodelovanje med drugimi organ</w:t>
            </w:r>
          </w:p>
        </w:tc>
        <w:tc>
          <w:tcPr>
            <w:tcW w:w="1134" w:type="dxa"/>
            <w:vAlign w:val="center"/>
          </w:tcPr>
          <w:p w14:paraId="46F39E8E" w14:textId="06761EFA" w:rsidR="00A95416" w:rsidRPr="00EA590A" w:rsidRDefault="00A95416" w:rsidP="00A95416">
            <w:pPr>
              <w:pStyle w:val="Institutionquisigne"/>
              <w:spacing w:before="0"/>
              <w:jc w:val="center"/>
              <w:rPr>
                <w:noProof/>
                <w:sz w:val="22"/>
              </w:rPr>
            </w:pPr>
            <w:r w:rsidRPr="00EA590A">
              <w:rPr>
                <w:i w:val="0"/>
                <w:noProof/>
                <w:sz w:val="20"/>
                <w:szCs w:val="20"/>
              </w:rPr>
              <w:t>2023-2027</w:t>
            </w:r>
          </w:p>
        </w:tc>
        <w:tc>
          <w:tcPr>
            <w:tcW w:w="818" w:type="dxa"/>
            <w:vAlign w:val="center"/>
          </w:tcPr>
          <w:p w14:paraId="0B16906B" w14:textId="7C8F0A73" w:rsidR="00A95416" w:rsidRPr="00EA590A" w:rsidRDefault="00A95416" w:rsidP="00A95416">
            <w:pPr>
              <w:pStyle w:val="Institutionquisigne"/>
              <w:spacing w:before="0"/>
              <w:jc w:val="center"/>
              <w:rPr>
                <w:noProof/>
                <w:sz w:val="22"/>
              </w:rPr>
            </w:pPr>
            <w:r w:rsidRPr="00EA590A">
              <w:rPr>
                <w:i w:val="0"/>
                <w:noProof/>
                <w:sz w:val="20"/>
                <w:szCs w:val="20"/>
              </w:rPr>
              <w:t>75%</w:t>
            </w:r>
          </w:p>
        </w:tc>
        <w:tc>
          <w:tcPr>
            <w:tcW w:w="1530" w:type="dxa"/>
          </w:tcPr>
          <w:p w14:paraId="7AF27E85" w14:textId="77777777" w:rsidR="00A95416" w:rsidRPr="00EA590A" w:rsidRDefault="00A95416" w:rsidP="00A95416">
            <w:pPr>
              <w:pStyle w:val="Institutionquisigne"/>
              <w:spacing w:before="0"/>
              <w:jc w:val="center"/>
              <w:rPr>
                <w:i w:val="0"/>
                <w:noProof/>
                <w:sz w:val="20"/>
                <w:szCs w:val="20"/>
              </w:rPr>
            </w:pPr>
          </w:p>
          <w:p w14:paraId="6BAADA7E" w14:textId="77777777" w:rsidR="00A95416" w:rsidRPr="00EA590A" w:rsidRDefault="00A95416" w:rsidP="00A95416">
            <w:pPr>
              <w:pStyle w:val="Institutionquisigne"/>
              <w:spacing w:before="0"/>
              <w:jc w:val="center"/>
              <w:rPr>
                <w:i w:val="0"/>
                <w:noProof/>
                <w:sz w:val="20"/>
                <w:szCs w:val="20"/>
              </w:rPr>
            </w:pPr>
          </w:p>
          <w:p w14:paraId="7EC94317" w14:textId="77777777" w:rsidR="00A95416" w:rsidRPr="00EA590A" w:rsidRDefault="00A95416" w:rsidP="00A95416">
            <w:pPr>
              <w:pStyle w:val="Institutionquisigne"/>
              <w:spacing w:before="0"/>
              <w:jc w:val="center"/>
              <w:rPr>
                <w:i w:val="0"/>
                <w:noProof/>
                <w:sz w:val="20"/>
                <w:szCs w:val="20"/>
              </w:rPr>
            </w:pPr>
          </w:p>
          <w:p w14:paraId="7FA6EEBA" w14:textId="77777777" w:rsidR="00A95416" w:rsidRPr="00EA590A" w:rsidRDefault="00A95416" w:rsidP="00A95416">
            <w:pPr>
              <w:pStyle w:val="Institutionquisigne"/>
              <w:spacing w:before="0"/>
              <w:jc w:val="center"/>
              <w:rPr>
                <w:i w:val="0"/>
                <w:noProof/>
                <w:sz w:val="20"/>
                <w:szCs w:val="20"/>
              </w:rPr>
            </w:pPr>
          </w:p>
          <w:p w14:paraId="11B997B7" w14:textId="77777777" w:rsidR="00A95416" w:rsidRPr="00EA590A" w:rsidRDefault="00A95416" w:rsidP="00A95416">
            <w:pPr>
              <w:pStyle w:val="Institutionquisigne"/>
              <w:spacing w:before="0"/>
              <w:jc w:val="center"/>
              <w:rPr>
                <w:i w:val="0"/>
                <w:noProof/>
                <w:sz w:val="20"/>
                <w:szCs w:val="20"/>
              </w:rPr>
            </w:pPr>
          </w:p>
          <w:p w14:paraId="7BAF22BF" w14:textId="42214750" w:rsidR="00A95416" w:rsidRPr="00EA590A" w:rsidRDefault="00A95416" w:rsidP="00A95416">
            <w:pPr>
              <w:pStyle w:val="Institutionquisigne"/>
              <w:spacing w:before="0"/>
              <w:jc w:val="center"/>
              <w:rPr>
                <w:noProof/>
                <w:sz w:val="22"/>
              </w:rPr>
            </w:pPr>
            <w:r w:rsidRPr="00EA590A">
              <w:rPr>
                <w:i w:val="0"/>
                <w:noProof/>
                <w:sz w:val="20"/>
                <w:szCs w:val="20"/>
              </w:rPr>
              <w:t>1.240.000,00</w:t>
            </w:r>
          </w:p>
        </w:tc>
        <w:tc>
          <w:tcPr>
            <w:tcW w:w="1243" w:type="dxa"/>
          </w:tcPr>
          <w:p w14:paraId="060CF51E" w14:textId="77777777" w:rsidR="00A95416" w:rsidRPr="00EA590A" w:rsidRDefault="00A95416" w:rsidP="00A95416">
            <w:pPr>
              <w:pStyle w:val="Institutionquisigne"/>
              <w:spacing w:before="0"/>
              <w:jc w:val="center"/>
              <w:rPr>
                <w:i w:val="0"/>
                <w:noProof/>
                <w:sz w:val="20"/>
                <w:szCs w:val="20"/>
              </w:rPr>
            </w:pPr>
          </w:p>
          <w:p w14:paraId="1BF3031B" w14:textId="77777777" w:rsidR="00A95416" w:rsidRPr="00EA590A" w:rsidRDefault="00A95416" w:rsidP="00A95416">
            <w:pPr>
              <w:pStyle w:val="Institutionquisigne"/>
              <w:spacing w:before="0"/>
              <w:jc w:val="center"/>
              <w:rPr>
                <w:i w:val="0"/>
                <w:noProof/>
                <w:sz w:val="20"/>
                <w:szCs w:val="20"/>
              </w:rPr>
            </w:pPr>
          </w:p>
          <w:p w14:paraId="087C72CD" w14:textId="77777777" w:rsidR="00A95416" w:rsidRPr="00EA590A" w:rsidRDefault="00A95416" w:rsidP="00A95416">
            <w:pPr>
              <w:pStyle w:val="Institutionquisigne"/>
              <w:spacing w:before="0"/>
              <w:jc w:val="center"/>
              <w:rPr>
                <w:i w:val="0"/>
                <w:noProof/>
                <w:sz w:val="20"/>
                <w:szCs w:val="20"/>
              </w:rPr>
            </w:pPr>
          </w:p>
          <w:p w14:paraId="05596A33" w14:textId="77777777" w:rsidR="00A95416" w:rsidRPr="00EA590A" w:rsidRDefault="00A95416" w:rsidP="00A95416">
            <w:pPr>
              <w:pStyle w:val="Institutionquisigne"/>
              <w:spacing w:before="0"/>
              <w:jc w:val="center"/>
              <w:rPr>
                <w:i w:val="0"/>
                <w:noProof/>
                <w:sz w:val="20"/>
                <w:szCs w:val="20"/>
              </w:rPr>
            </w:pPr>
          </w:p>
          <w:p w14:paraId="4555AEBF" w14:textId="77777777" w:rsidR="00A95416" w:rsidRPr="00EA590A" w:rsidRDefault="00A95416" w:rsidP="00A95416">
            <w:pPr>
              <w:pStyle w:val="Institutionquisigne"/>
              <w:spacing w:before="0"/>
              <w:jc w:val="center"/>
              <w:rPr>
                <w:i w:val="0"/>
                <w:noProof/>
                <w:sz w:val="20"/>
                <w:szCs w:val="20"/>
              </w:rPr>
            </w:pPr>
          </w:p>
          <w:p w14:paraId="08D4FD57" w14:textId="031DBB98" w:rsidR="00A95416" w:rsidRPr="00EA590A" w:rsidRDefault="00A95416" w:rsidP="00A95416">
            <w:pPr>
              <w:pStyle w:val="Institutionquisigne"/>
              <w:spacing w:before="0"/>
              <w:rPr>
                <w:noProof/>
                <w:sz w:val="22"/>
              </w:rPr>
            </w:pPr>
            <w:r w:rsidRPr="00EA590A">
              <w:rPr>
                <w:i w:val="0"/>
                <w:noProof/>
                <w:sz w:val="20"/>
                <w:szCs w:val="20"/>
              </w:rPr>
              <w:t>195.485,25</w:t>
            </w:r>
          </w:p>
        </w:tc>
      </w:tr>
      <w:tr w:rsidR="00EA590A" w:rsidRPr="00EA590A" w14:paraId="09698519" w14:textId="77777777" w:rsidTr="00A95416">
        <w:trPr>
          <w:trHeight w:val="255"/>
        </w:trPr>
        <w:tc>
          <w:tcPr>
            <w:tcW w:w="879" w:type="dxa"/>
            <w:vAlign w:val="center"/>
          </w:tcPr>
          <w:p w14:paraId="627E14FA" w14:textId="07177D46" w:rsidR="00A95416" w:rsidRPr="00EA590A" w:rsidRDefault="00A95416" w:rsidP="00A95416">
            <w:pPr>
              <w:pStyle w:val="Institutionquisigne"/>
              <w:spacing w:before="0"/>
              <w:jc w:val="center"/>
              <w:rPr>
                <w:i w:val="0"/>
                <w:noProof/>
                <w:sz w:val="22"/>
              </w:rPr>
            </w:pPr>
            <w:r w:rsidRPr="00EA590A">
              <w:rPr>
                <w:i w:val="0"/>
                <w:noProof/>
                <w:sz w:val="20"/>
                <w:szCs w:val="20"/>
              </w:rPr>
              <w:t>SO3</w:t>
            </w:r>
          </w:p>
        </w:tc>
        <w:tc>
          <w:tcPr>
            <w:tcW w:w="1384" w:type="dxa"/>
            <w:vAlign w:val="bottom"/>
          </w:tcPr>
          <w:p w14:paraId="10C7578C" w14:textId="77777777" w:rsidR="00A95416" w:rsidRPr="00EA590A" w:rsidRDefault="00A95416" w:rsidP="00A95416">
            <w:pPr>
              <w:pStyle w:val="Institutionquisigne"/>
              <w:spacing w:before="0"/>
              <w:rPr>
                <w:i w:val="0"/>
                <w:sz w:val="20"/>
                <w:szCs w:val="20"/>
              </w:rPr>
            </w:pPr>
            <w:r w:rsidRPr="00EA590A">
              <w:rPr>
                <w:i w:val="0"/>
                <w:sz w:val="20"/>
                <w:szCs w:val="20"/>
              </w:rPr>
              <w:t>I.SO3.1.10-02A Razvoj in izboljšanje analitsko preiskovalnih sistemov</w:t>
            </w:r>
          </w:p>
          <w:p w14:paraId="19F7B8C7" w14:textId="2B2D91F7" w:rsidR="00A95416" w:rsidRPr="00EA590A" w:rsidRDefault="00A95416" w:rsidP="00A95416">
            <w:pPr>
              <w:pStyle w:val="Personnequisigne"/>
            </w:pPr>
          </w:p>
        </w:tc>
        <w:tc>
          <w:tcPr>
            <w:tcW w:w="1026" w:type="dxa"/>
          </w:tcPr>
          <w:p w14:paraId="4F786ABB" w14:textId="0E4578AA" w:rsidR="00A95416" w:rsidRPr="00EA590A" w:rsidRDefault="00A95416" w:rsidP="00A95416">
            <w:pPr>
              <w:pStyle w:val="Institutionquisigne"/>
              <w:spacing w:before="0"/>
              <w:jc w:val="center"/>
              <w:rPr>
                <w:i w:val="0"/>
                <w:noProof/>
                <w:sz w:val="20"/>
                <w:szCs w:val="20"/>
              </w:rPr>
            </w:pPr>
            <w:r w:rsidRPr="00EA590A">
              <w:rPr>
                <w:i w:val="0"/>
                <w:noProof/>
                <w:sz w:val="20"/>
                <w:szCs w:val="20"/>
              </w:rPr>
              <w:t>Policija - Urad za informatiko in telekomunikacije</w:t>
            </w:r>
          </w:p>
        </w:tc>
        <w:tc>
          <w:tcPr>
            <w:tcW w:w="1275" w:type="dxa"/>
            <w:vAlign w:val="center"/>
          </w:tcPr>
          <w:p w14:paraId="59A369DD" w14:textId="1A32D39F" w:rsidR="00A95416" w:rsidRPr="00EA590A" w:rsidRDefault="00A95416" w:rsidP="00A95416">
            <w:pPr>
              <w:pStyle w:val="Institutionquisigne"/>
              <w:spacing w:before="0"/>
              <w:jc w:val="center"/>
              <w:rPr>
                <w:i w:val="0"/>
                <w:noProof/>
                <w:sz w:val="20"/>
                <w:szCs w:val="20"/>
              </w:rPr>
            </w:pPr>
            <w:r w:rsidRPr="00EA590A">
              <w:rPr>
                <w:i w:val="0"/>
                <w:noProof/>
                <w:sz w:val="20"/>
                <w:szCs w:val="20"/>
              </w:rPr>
              <w:t>Organizirani kriminal  - gospodarski in finančni kriminal</w:t>
            </w:r>
          </w:p>
        </w:tc>
        <w:tc>
          <w:tcPr>
            <w:tcW w:w="1134" w:type="dxa"/>
            <w:vAlign w:val="center"/>
          </w:tcPr>
          <w:p w14:paraId="6D212CA2" w14:textId="2AED47A4" w:rsidR="00A95416" w:rsidRPr="00EA590A" w:rsidRDefault="00A95416" w:rsidP="00A95416">
            <w:pPr>
              <w:pStyle w:val="Institutionquisigne"/>
              <w:spacing w:before="0"/>
              <w:jc w:val="center"/>
              <w:rPr>
                <w:noProof/>
                <w:sz w:val="22"/>
              </w:rPr>
            </w:pPr>
            <w:r w:rsidRPr="00EA590A">
              <w:rPr>
                <w:i w:val="0"/>
                <w:noProof/>
                <w:sz w:val="20"/>
                <w:szCs w:val="20"/>
              </w:rPr>
              <w:t>2023-2027</w:t>
            </w:r>
          </w:p>
        </w:tc>
        <w:tc>
          <w:tcPr>
            <w:tcW w:w="818" w:type="dxa"/>
            <w:vAlign w:val="center"/>
          </w:tcPr>
          <w:p w14:paraId="2CBA2B87" w14:textId="6BE21FFD" w:rsidR="00A95416" w:rsidRPr="00EA590A" w:rsidRDefault="00A95416" w:rsidP="00A95416">
            <w:pPr>
              <w:pStyle w:val="Institutionquisigne"/>
              <w:spacing w:before="0"/>
              <w:jc w:val="center"/>
              <w:rPr>
                <w:noProof/>
                <w:sz w:val="22"/>
              </w:rPr>
            </w:pPr>
            <w:r w:rsidRPr="00EA590A">
              <w:rPr>
                <w:i w:val="0"/>
                <w:noProof/>
                <w:sz w:val="20"/>
                <w:szCs w:val="20"/>
              </w:rPr>
              <w:t>75%</w:t>
            </w:r>
          </w:p>
        </w:tc>
        <w:tc>
          <w:tcPr>
            <w:tcW w:w="1530" w:type="dxa"/>
            <w:vAlign w:val="bottom"/>
          </w:tcPr>
          <w:p w14:paraId="7551C64F" w14:textId="77777777" w:rsidR="00A95416" w:rsidRPr="00EA590A" w:rsidRDefault="00A95416" w:rsidP="00A95416">
            <w:pPr>
              <w:pStyle w:val="Institutionquisigne"/>
              <w:spacing w:before="0"/>
              <w:jc w:val="center"/>
              <w:rPr>
                <w:i w:val="0"/>
                <w:noProof/>
                <w:sz w:val="20"/>
                <w:szCs w:val="20"/>
              </w:rPr>
            </w:pPr>
          </w:p>
          <w:p w14:paraId="58A96BAF" w14:textId="77777777" w:rsidR="00A95416" w:rsidRPr="00EA590A" w:rsidRDefault="00A95416" w:rsidP="00A95416">
            <w:pPr>
              <w:pStyle w:val="Institutionquisigne"/>
              <w:spacing w:before="0"/>
              <w:jc w:val="center"/>
              <w:rPr>
                <w:i w:val="0"/>
                <w:noProof/>
                <w:sz w:val="20"/>
                <w:szCs w:val="20"/>
              </w:rPr>
            </w:pPr>
          </w:p>
          <w:p w14:paraId="51C1DD54" w14:textId="77777777" w:rsidR="00A95416" w:rsidRPr="00EA590A" w:rsidRDefault="00A95416" w:rsidP="00A95416">
            <w:pPr>
              <w:pStyle w:val="Institutionquisigne"/>
              <w:spacing w:before="0"/>
              <w:jc w:val="center"/>
              <w:rPr>
                <w:i w:val="0"/>
                <w:noProof/>
                <w:sz w:val="20"/>
                <w:szCs w:val="20"/>
              </w:rPr>
            </w:pPr>
          </w:p>
          <w:p w14:paraId="1CF1DE0F" w14:textId="64209A07" w:rsidR="00A95416" w:rsidRPr="00EA590A" w:rsidRDefault="00A95416" w:rsidP="00A95416">
            <w:pPr>
              <w:pStyle w:val="Institutionquisigne"/>
              <w:spacing w:before="0"/>
              <w:jc w:val="center"/>
              <w:rPr>
                <w:i w:val="0"/>
                <w:noProof/>
                <w:sz w:val="20"/>
                <w:szCs w:val="20"/>
              </w:rPr>
            </w:pPr>
            <w:r w:rsidRPr="00EA590A">
              <w:rPr>
                <w:i w:val="0"/>
                <w:noProof/>
                <w:sz w:val="20"/>
                <w:szCs w:val="20"/>
              </w:rPr>
              <w:t>3.653.333,34</w:t>
            </w:r>
          </w:p>
          <w:p w14:paraId="14ADC9E5" w14:textId="77777777" w:rsidR="00A95416" w:rsidRPr="00EA590A" w:rsidRDefault="00A95416" w:rsidP="00A95416">
            <w:pPr>
              <w:pStyle w:val="Personnequisigne"/>
              <w:jc w:val="center"/>
              <w:rPr>
                <w:i w:val="0"/>
                <w:noProof/>
                <w:sz w:val="20"/>
                <w:szCs w:val="20"/>
              </w:rPr>
            </w:pPr>
          </w:p>
          <w:p w14:paraId="7D24AA70" w14:textId="5CF21CB4" w:rsidR="00A95416" w:rsidRPr="00EA590A" w:rsidRDefault="00A95416" w:rsidP="00A95416">
            <w:pPr>
              <w:pStyle w:val="Institutionquisigne"/>
              <w:jc w:val="center"/>
              <w:rPr>
                <w:i w:val="0"/>
                <w:noProof/>
                <w:sz w:val="20"/>
                <w:szCs w:val="20"/>
              </w:rPr>
            </w:pPr>
          </w:p>
        </w:tc>
        <w:tc>
          <w:tcPr>
            <w:tcW w:w="1243" w:type="dxa"/>
            <w:vAlign w:val="bottom"/>
          </w:tcPr>
          <w:p w14:paraId="7A8AF5FE" w14:textId="77777777" w:rsidR="00A95416" w:rsidRPr="00EA590A" w:rsidRDefault="00A95416" w:rsidP="00A95416">
            <w:pPr>
              <w:pStyle w:val="Institutionquisigne"/>
              <w:spacing w:before="0"/>
              <w:rPr>
                <w:i w:val="0"/>
                <w:noProof/>
                <w:sz w:val="20"/>
                <w:szCs w:val="20"/>
              </w:rPr>
            </w:pPr>
            <w:r w:rsidRPr="00EA590A">
              <w:rPr>
                <w:i w:val="0"/>
                <w:noProof/>
                <w:sz w:val="20"/>
                <w:szCs w:val="20"/>
              </w:rPr>
              <w:t>251.658,62</w:t>
            </w:r>
          </w:p>
          <w:p w14:paraId="268F1D58" w14:textId="77777777" w:rsidR="00A95416" w:rsidRPr="00EA590A" w:rsidRDefault="00A95416" w:rsidP="00A95416">
            <w:pPr>
              <w:pStyle w:val="Personnequisigne"/>
            </w:pPr>
          </w:p>
          <w:p w14:paraId="02AB8713" w14:textId="4F43FF87" w:rsidR="00A95416" w:rsidRPr="00EA590A" w:rsidRDefault="00A95416" w:rsidP="00A95416">
            <w:pPr>
              <w:pStyle w:val="Institutionquisigne"/>
            </w:pPr>
          </w:p>
        </w:tc>
      </w:tr>
      <w:tr w:rsidR="00EA590A" w:rsidRPr="00EA590A" w14:paraId="2B8DA526" w14:textId="77777777" w:rsidTr="00A95416">
        <w:trPr>
          <w:trHeight w:val="255"/>
        </w:trPr>
        <w:tc>
          <w:tcPr>
            <w:tcW w:w="879" w:type="dxa"/>
            <w:vAlign w:val="center"/>
          </w:tcPr>
          <w:p w14:paraId="2394D362" w14:textId="7EAECB96" w:rsidR="00A95416" w:rsidRPr="00EA590A" w:rsidRDefault="00A95416" w:rsidP="00A95416">
            <w:pPr>
              <w:pStyle w:val="Institutionquisigne"/>
              <w:spacing w:before="0"/>
              <w:jc w:val="center"/>
              <w:rPr>
                <w:i w:val="0"/>
                <w:noProof/>
                <w:sz w:val="22"/>
              </w:rPr>
            </w:pPr>
            <w:r w:rsidRPr="00EA590A">
              <w:rPr>
                <w:i w:val="0"/>
                <w:noProof/>
                <w:sz w:val="20"/>
                <w:szCs w:val="20"/>
              </w:rPr>
              <w:t>SO3</w:t>
            </w:r>
          </w:p>
        </w:tc>
        <w:tc>
          <w:tcPr>
            <w:tcW w:w="1384" w:type="dxa"/>
            <w:vAlign w:val="bottom"/>
          </w:tcPr>
          <w:p w14:paraId="1F7E2BDF" w14:textId="12C528C4" w:rsidR="00A95416" w:rsidRPr="00EA590A" w:rsidRDefault="00A95416" w:rsidP="00A95416">
            <w:pPr>
              <w:pStyle w:val="Institutionquisigne"/>
              <w:spacing w:before="0"/>
              <w:jc w:val="center"/>
              <w:rPr>
                <w:noProof/>
                <w:sz w:val="22"/>
              </w:rPr>
            </w:pPr>
            <w:r w:rsidRPr="00EA590A">
              <w:rPr>
                <w:i w:val="0"/>
                <w:sz w:val="20"/>
                <w:szCs w:val="20"/>
              </w:rPr>
              <w:t>I.SO3.1.19-03A Vzpostavitev sistema za preprečevanje in odkrivanje APT (</w:t>
            </w:r>
            <w:proofErr w:type="spellStart"/>
            <w:r w:rsidRPr="00EA590A">
              <w:rPr>
                <w:i w:val="0"/>
                <w:sz w:val="20"/>
                <w:szCs w:val="20"/>
              </w:rPr>
              <w:t>advanced</w:t>
            </w:r>
            <w:proofErr w:type="spellEnd"/>
            <w:r w:rsidRPr="00EA590A">
              <w:rPr>
                <w:i w:val="0"/>
                <w:sz w:val="20"/>
                <w:szCs w:val="20"/>
              </w:rPr>
              <w:t xml:space="preserve"> </w:t>
            </w:r>
            <w:proofErr w:type="spellStart"/>
            <w:r w:rsidRPr="00EA590A">
              <w:rPr>
                <w:i w:val="0"/>
                <w:sz w:val="20"/>
                <w:szCs w:val="20"/>
              </w:rPr>
              <w:t>persistent</w:t>
            </w:r>
            <w:proofErr w:type="spellEnd"/>
            <w:r w:rsidRPr="00EA590A">
              <w:rPr>
                <w:i w:val="0"/>
                <w:sz w:val="20"/>
                <w:szCs w:val="20"/>
              </w:rPr>
              <w:t xml:space="preserve"> </w:t>
            </w:r>
            <w:proofErr w:type="spellStart"/>
            <w:r w:rsidRPr="00EA590A">
              <w:rPr>
                <w:i w:val="0"/>
                <w:sz w:val="20"/>
                <w:szCs w:val="20"/>
              </w:rPr>
              <w:t>threat</w:t>
            </w:r>
            <w:proofErr w:type="spellEnd"/>
            <w:r w:rsidRPr="00EA590A">
              <w:rPr>
                <w:i w:val="0"/>
                <w:sz w:val="20"/>
                <w:szCs w:val="20"/>
              </w:rPr>
              <w:t>)</w:t>
            </w:r>
          </w:p>
        </w:tc>
        <w:tc>
          <w:tcPr>
            <w:tcW w:w="1026" w:type="dxa"/>
          </w:tcPr>
          <w:p w14:paraId="4665D89D" w14:textId="30B990A4" w:rsidR="00A95416" w:rsidRPr="00EA590A" w:rsidRDefault="00A95416" w:rsidP="00A95416">
            <w:pPr>
              <w:pStyle w:val="Institutionquisigne"/>
              <w:spacing w:before="0"/>
              <w:jc w:val="center"/>
              <w:rPr>
                <w:i w:val="0"/>
                <w:noProof/>
                <w:sz w:val="20"/>
                <w:szCs w:val="20"/>
              </w:rPr>
            </w:pPr>
            <w:r w:rsidRPr="00EA590A">
              <w:rPr>
                <w:i w:val="0"/>
                <w:noProof/>
                <w:sz w:val="20"/>
                <w:szCs w:val="20"/>
              </w:rPr>
              <w:t>Policija - Urad za informatiko in telekomunikacije</w:t>
            </w:r>
          </w:p>
        </w:tc>
        <w:tc>
          <w:tcPr>
            <w:tcW w:w="1275" w:type="dxa"/>
            <w:vAlign w:val="center"/>
          </w:tcPr>
          <w:p w14:paraId="4C33C744" w14:textId="59EEA836" w:rsidR="00A95416" w:rsidRPr="00EA590A" w:rsidRDefault="00A95416" w:rsidP="00A95416">
            <w:pPr>
              <w:pStyle w:val="Institutionquisigne"/>
              <w:spacing w:before="0"/>
              <w:jc w:val="center"/>
              <w:rPr>
                <w:i w:val="0"/>
                <w:noProof/>
                <w:sz w:val="20"/>
                <w:szCs w:val="20"/>
              </w:rPr>
            </w:pPr>
            <w:r w:rsidRPr="00EA590A">
              <w:rPr>
                <w:i w:val="0"/>
                <w:noProof/>
                <w:sz w:val="20"/>
                <w:szCs w:val="20"/>
              </w:rPr>
              <w:t>Organizirani kriminal-drugo</w:t>
            </w:r>
          </w:p>
        </w:tc>
        <w:tc>
          <w:tcPr>
            <w:tcW w:w="1134" w:type="dxa"/>
            <w:vAlign w:val="center"/>
          </w:tcPr>
          <w:p w14:paraId="7970596F" w14:textId="33B80825" w:rsidR="00A95416" w:rsidRPr="00EA590A" w:rsidRDefault="00A95416" w:rsidP="00A95416">
            <w:pPr>
              <w:pStyle w:val="Institutionquisigne"/>
              <w:spacing w:before="0"/>
              <w:jc w:val="center"/>
              <w:rPr>
                <w:noProof/>
                <w:sz w:val="22"/>
              </w:rPr>
            </w:pPr>
            <w:r w:rsidRPr="00EA590A">
              <w:rPr>
                <w:i w:val="0"/>
                <w:noProof/>
                <w:sz w:val="20"/>
                <w:szCs w:val="20"/>
              </w:rPr>
              <w:t>2023-2027</w:t>
            </w:r>
          </w:p>
        </w:tc>
        <w:tc>
          <w:tcPr>
            <w:tcW w:w="818" w:type="dxa"/>
            <w:vAlign w:val="center"/>
          </w:tcPr>
          <w:p w14:paraId="66240071" w14:textId="361D35D4" w:rsidR="00A95416" w:rsidRPr="00EA590A" w:rsidRDefault="00A95416" w:rsidP="00A95416">
            <w:pPr>
              <w:pStyle w:val="Institutionquisigne"/>
              <w:spacing w:before="0"/>
              <w:jc w:val="center"/>
              <w:rPr>
                <w:noProof/>
                <w:sz w:val="22"/>
              </w:rPr>
            </w:pPr>
            <w:r w:rsidRPr="00EA590A">
              <w:rPr>
                <w:i w:val="0"/>
                <w:noProof/>
                <w:sz w:val="20"/>
                <w:szCs w:val="20"/>
              </w:rPr>
              <w:t>75%</w:t>
            </w:r>
          </w:p>
        </w:tc>
        <w:tc>
          <w:tcPr>
            <w:tcW w:w="1530" w:type="dxa"/>
            <w:vAlign w:val="bottom"/>
          </w:tcPr>
          <w:p w14:paraId="217FD788" w14:textId="77777777" w:rsidR="00A95416" w:rsidRPr="00EA590A" w:rsidRDefault="00A95416" w:rsidP="00A95416">
            <w:pPr>
              <w:pStyle w:val="Institutionquisigne"/>
              <w:spacing w:before="0"/>
              <w:jc w:val="center"/>
              <w:rPr>
                <w:i w:val="0"/>
                <w:noProof/>
                <w:sz w:val="20"/>
                <w:szCs w:val="20"/>
              </w:rPr>
            </w:pPr>
            <w:r w:rsidRPr="00EA590A">
              <w:rPr>
                <w:i w:val="0"/>
                <w:noProof/>
                <w:sz w:val="20"/>
                <w:szCs w:val="20"/>
              </w:rPr>
              <w:t>2.323.333,34</w:t>
            </w:r>
          </w:p>
          <w:p w14:paraId="77542220" w14:textId="77777777" w:rsidR="00A95416" w:rsidRPr="00EA590A" w:rsidRDefault="00A95416" w:rsidP="00A95416">
            <w:pPr>
              <w:pStyle w:val="Personnequisigne"/>
            </w:pPr>
          </w:p>
          <w:p w14:paraId="3DC64C2E" w14:textId="77777777" w:rsidR="00A95416" w:rsidRPr="00EA590A" w:rsidRDefault="00A95416" w:rsidP="00A95416">
            <w:pPr>
              <w:pStyle w:val="Institutionquisigne"/>
            </w:pPr>
          </w:p>
          <w:p w14:paraId="0E31D87A" w14:textId="19A6DD4F" w:rsidR="00A95416" w:rsidRPr="00EA590A" w:rsidRDefault="00A95416" w:rsidP="00A95416">
            <w:pPr>
              <w:pStyle w:val="Personnequisigne"/>
            </w:pPr>
          </w:p>
        </w:tc>
        <w:tc>
          <w:tcPr>
            <w:tcW w:w="1243" w:type="dxa"/>
            <w:vAlign w:val="bottom"/>
          </w:tcPr>
          <w:p w14:paraId="5D517F56" w14:textId="77777777" w:rsidR="00A95416" w:rsidRPr="00EA590A" w:rsidRDefault="00A95416" w:rsidP="00A95416">
            <w:pPr>
              <w:pStyle w:val="Institutionquisigne"/>
              <w:spacing w:before="0"/>
              <w:jc w:val="center"/>
              <w:rPr>
                <w:i w:val="0"/>
                <w:noProof/>
                <w:sz w:val="20"/>
                <w:szCs w:val="20"/>
              </w:rPr>
            </w:pPr>
            <w:r w:rsidRPr="00EA590A">
              <w:rPr>
                <w:i w:val="0"/>
                <w:noProof/>
                <w:sz w:val="20"/>
                <w:szCs w:val="20"/>
              </w:rPr>
              <w:t>1.005.487,56</w:t>
            </w:r>
          </w:p>
          <w:p w14:paraId="757C7FB4" w14:textId="77777777" w:rsidR="00A95416" w:rsidRPr="00EA590A" w:rsidRDefault="00A95416" w:rsidP="00A95416">
            <w:pPr>
              <w:pStyle w:val="Personnequisigne"/>
            </w:pPr>
          </w:p>
          <w:p w14:paraId="50F6A6D4" w14:textId="77777777" w:rsidR="00A95416" w:rsidRPr="00EA590A" w:rsidRDefault="00A95416" w:rsidP="00A95416">
            <w:pPr>
              <w:pStyle w:val="Institutionquisigne"/>
            </w:pPr>
          </w:p>
          <w:p w14:paraId="294A899A" w14:textId="3184EAA1" w:rsidR="00A95416" w:rsidRPr="00EA590A" w:rsidRDefault="00A95416" w:rsidP="00A95416">
            <w:pPr>
              <w:pStyle w:val="Personnequisigne"/>
            </w:pPr>
          </w:p>
        </w:tc>
      </w:tr>
      <w:tr w:rsidR="00EA590A" w:rsidRPr="00EA590A" w14:paraId="17AA5A74" w14:textId="77777777" w:rsidTr="00A95416">
        <w:trPr>
          <w:trHeight w:val="255"/>
        </w:trPr>
        <w:tc>
          <w:tcPr>
            <w:tcW w:w="879" w:type="dxa"/>
          </w:tcPr>
          <w:p w14:paraId="7405723A" w14:textId="5329EE8A" w:rsidR="00A95416" w:rsidRPr="00EA590A" w:rsidRDefault="00A95416" w:rsidP="00A95416">
            <w:pPr>
              <w:pStyle w:val="Institutionquisigne"/>
              <w:spacing w:before="0"/>
              <w:jc w:val="center"/>
              <w:rPr>
                <w:i w:val="0"/>
                <w:noProof/>
                <w:sz w:val="22"/>
              </w:rPr>
            </w:pPr>
            <w:r w:rsidRPr="00EA590A">
              <w:rPr>
                <w:i w:val="0"/>
                <w:noProof/>
                <w:sz w:val="20"/>
                <w:szCs w:val="20"/>
              </w:rPr>
              <w:t>SO3</w:t>
            </w:r>
          </w:p>
        </w:tc>
        <w:tc>
          <w:tcPr>
            <w:tcW w:w="1384" w:type="dxa"/>
            <w:vAlign w:val="bottom"/>
          </w:tcPr>
          <w:p w14:paraId="0FFC0998" w14:textId="0AB10BFD" w:rsidR="00A95416" w:rsidRPr="00EA590A" w:rsidRDefault="00A95416" w:rsidP="00A95416">
            <w:pPr>
              <w:pStyle w:val="Institutionquisigne"/>
              <w:spacing w:before="0"/>
              <w:jc w:val="center"/>
              <w:rPr>
                <w:noProof/>
                <w:sz w:val="22"/>
              </w:rPr>
            </w:pPr>
            <w:r w:rsidRPr="00EA590A">
              <w:rPr>
                <w:i w:val="0"/>
                <w:sz w:val="20"/>
                <w:szCs w:val="20"/>
              </w:rPr>
              <w:t>I.SO3.1.30-01A Okrepitev ter nadgradnja sistemov za strateško odločanje (BI): HRM</w:t>
            </w:r>
          </w:p>
        </w:tc>
        <w:tc>
          <w:tcPr>
            <w:tcW w:w="1026" w:type="dxa"/>
          </w:tcPr>
          <w:p w14:paraId="5308BCB2" w14:textId="452592F2" w:rsidR="00A95416" w:rsidRPr="00EA590A" w:rsidRDefault="00A95416" w:rsidP="00A95416">
            <w:pPr>
              <w:pStyle w:val="Institutionquisigne"/>
              <w:spacing w:before="0"/>
              <w:jc w:val="center"/>
              <w:rPr>
                <w:i w:val="0"/>
                <w:noProof/>
                <w:sz w:val="20"/>
                <w:szCs w:val="20"/>
              </w:rPr>
            </w:pPr>
            <w:r w:rsidRPr="00EA590A">
              <w:rPr>
                <w:i w:val="0"/>
                <w:noProof/>
                <w:sz w:val="20"/>
                <w:szCs w:val="20"/>
              </w:rPr>
              <w:t>Policija - Urad za informatiko in telekomunikacije</w:t>
            </w:r>
          </w:p>
        </w:tc>
        <w:tc>
          <w:tcPr>
            <w:tcW w:w="1275" w:type="dxa"/>
            <w:vAlign w:val="center"/>
          </w:tcPr>
          <w:p w14:paraId="113BE683" w14:textId="4D8323EE" w:rsidR="00A95416" w:rsidRPr="00EA590A" w:rsidRDefault="00A95416" w:rsidP="00A95416">
            <w:pPr>
              <w:pStyle w:val="Institutionquisigne"/>
              <w:spacing w:before="0"/>
              <w:jc w:val="center"/>
              <w:rPr>
                <w:i w:val="0"/>
                <w:noProof/>
                <w:sz w:val="20"/>
                <w:szCs w:val="20"/>
              </w:rPr>
            </w:pPr>
            <w:r w:rsidRPr="00EA590A">
              <w:rPr>
                <w:i w:val="0"/>
                <w:noProof/>
                <w:sz w:val="20"/>
                <w:szCs w:val="20"/>
              </w:rPr>
              <w:t>Policijsko sodelovanje ali sodelovanje med drugimi organ</w:t>
            </w:r>
          </w:p>
        </w:tc>
        <w:tc>
          <w:tcPr>
            <w:tcW w:w="1134" w:type="dxa"/>
            <w:vAlign w:val="center"/>
          </w:tcPr>
          <w:p w14:paraId="4206EE01" w14:textId="3B064F62" w:rsidR="00A95416" w:rsidRPr="00EA590A" w:rsidRDefault="00A95416" w:rsidP="00A95416">
            <w:pPr>
              <w:pStyle w:val="Institutionquisigne"/>
              <w:spacing w:before="0"/>
              <w:jc w:val="center"/>
              <w:rPr>
                <w:noProof/>
                <w:sz w:val="22"/>
              </w:rPr>
            </w:pPr>
            <w:r w:rsidRPr="00EA590A">
              <w:rPr>
                <w:i w:val="0"/>
                <w:noProof/>
                <w:sz w:val="20"/>
                <w:szCs w:val="20"/>
              </w:rPr>
              <w:t>2023-2027</w:t>
            </w:r>
          </w:p>
        </w:tc>
        <w:tc>
          <w:tcPr>
            <w:tcW w:w="818" w:type="dxa"/>
            <w:vAlign w:val="center"/>
          </w:tcPr>
          <w:p w14:paraId="1EE581F8" w14:textId="7C2027FB" w:rsidR="00A95416" w:rsidRPr="00EA590A" w:rsidRDefault="00A95416" w:rsidP="00A95416">
            <w:pPr>
              <w:pStyle w:val="Institutionquisigne"/>
              <w:spacing w:before="0"/>
              <w:jc w:val="center"/>
              <w:rPr>
                <w:noProof/>
                <w:sz w:val="22"/>
              </w:rPr>
            </w:pPr>
            <w:r w:rsidRPr="00EA590A">
              <w:rPr>
                <w:i w:val="0"/>
                <w:noProof/>
                <w:sz w:val="20"/>
                <w:szCs w:val="20"/>
              </w:rPr>
              <w:t>75%</w:t>
            </w:r>
          </w:p>
        </w:tc>
        <w:tc>
          <w:tcPr>
            <w:tcW w:w="1530" w:type="dxa"/>
            <w:vAlign w:val="bottom"/>
          </w:tcPr>
          <w:p w14:paraId="77A9436A" w14:textId="77777777" w:rsidR="00A95416" w:rsidRPr="00EA590A" w:rsidRDefault="00A95416" w:rsidP="00A95416">
            <w:pPr>
              <w:pStyle w:val="Institutionquisigne"/>
              <w:spacing w:before="0"/>
              <w:jc w:val="center"/>
              <w:rPr>
                <w:i w:val="0"/>
                <w:noProof/>
                <w:sz w:val="20"/>
                <w:szCs w:val="20"/>
              </w:rPr>
            </w:pPr>
            <w:r w:rsidRPr="00EA590A">
              <w:rPr>
                <w:i w:val="0"/>
                <w:noProof/>
                <w:sz w:val="20"/>
                <w:szCs w:val="20"/>
              </w:rPr>
              <w:t>570.000</w:t>
            </w:r>
          </w:p>
          <w:p w14:paraId="21C8F852" w14:textId="77777777" w:rsidR="00A95416" w:rsidRPr="00EA590A" w:rsidRDefault="00A95416" w:rsidP="00A95416">
            <w:pPr>
              <w:pStyle w:val="Personnequisigne"/>
            </w:pPr>
          </w:p>
          <w:p w14:paraId="65B7C642" w14:textId="78AAD007" w:rsidR="00A95416" w:rsidRPr="00EA590A" w:rsidRDefault="00A95416" w:rsidP="00A95416">
            <w:pPr>
              <w:pStyle w:val="Institutionquisigne"/>
            </w:pPr>
          </w:p>
        </w:tc>
        <w:tc>
          <w:tcPr>
            <w:tcW w:w="1243" w:type="dxa"/>
            <w:vAlign w:val="bottom"/>
          </w:tcPr>
          <w:p w14:paraId="181FB1EB" w14:textId="77777777" w:rsidR="00A95416" w:rsidRPr="00EA590A" w:rsidRDefault="00A95416" w:rsidP="00A95416">
            <w:pPr>
              <w:pStyle w:val="Institutionquisigne"/>
              <w:spacing w:before="0"/>
              <w:jc w:val="center"/>
              <w:rPr>
                <w:i w:val="0"/>
                <w:noProof/>
                <w:sz w:val="20"/>
                <w:szCs w:val="20"/>
              </w:rPr>
            </w:pPr>
            <w:r w:rsidRPr="00EA590A">
              <w:rPr>
                <w:i w:val="0"/>
                <w:noProof/>
                <w:sz w:val="20"/>
                <w:szCs w:val="20"/>
              </w:rPr>
              <w:t>108.802,45</w:t>
            </w:r>
          </w:p>
          <w:p w14:paraId="00AC114E" w14:textId="77777777" w:rsidR="00A95416" w:rsidRPr="00EA590A" w:rsidRDefault="00A95416" w:rsidP="00A95416">
            <w:pPr>
              <w:pStyle w:val="Personnequisigne"/>
            </w:pPr>
          </w:p>
          <w:p w14:paraId="563DB089" w14:textId="4BFB8285" w:rsidR="00A95416" w:rsidRPr="00EA590A" w:rsidRDefault="00A95416" w:rsidP="00A95416">
            <w:pPr>
              <w:pStyle w:val="Institutionquisigne"/>
            </w:pPr>
          </w:p>
        </w:tc>
      </w:tr>
    </w:tbl>
    <w:p w14:paraId="35BD8DD6" w14:textId="77777777" w:rsidR="006A41E2" w:rsidRPr="00EA590A" w:rsidRDefault="00C30ACF" w:rsidP="00C30ACF">
      <w:pPr>
        <w:pStyle w:val="ManualHeading1"/>
        <w:rPr>
          <w:noProof/>
          <w:sz w:val="22"/>
        </w:rPr>
      </w:pPr>
      <w:r w:rsidRPr="00EA590A">
        <w:rPr>
          <w:sz w:val="22"/>
        </w:rPr>
        <w:t>3.</w:t>
      </w:r>
      <w:r w:rsidRPr="00EA590A">
        <w:rPr>
          <w:sz w:val="22"/>
        </w:rPr>
        <w:tab/>
      </w:r>
      <w:r w:rsidR="006A41E2" w:rsidRPr="00EA590A">
        <w:rPr>
          <w:noProof/>
          <w:sz w:val="22"/>
        </w:rPr>
        <w:t>Izvajanje pravnega reda Unije – člen 30(2), točka (d), Uredbe (EU) 2021/1149</w:t>
      </w:r>
    </w:p>
    <w:p w14:paraId="43F72794" w14:textId="77777777" w:rsidR="006A41E2" w:rsidRPr="00EA590A" w:rsidRDefault="0060652B" w:rsidP="006A41E2">
      <w:pPr>
        <w:rPr>
          <w:noProof/>
          <w:sz w:val="22"/>
        </w:rPr>
      </w:pPr>
      <w:r w:rsidRPr="00EA590A">
        <w:rPr>
          <w:noProof/>
          <w:sz w:val="22"/>
        </w:rPr>
        <w:t>Opišite, kako je program med obračunskim letom prispeval k izvajanju ustreznega pravnega reda Unije (prava Unije) o varnosti in izmenjavi ustreznih informacij ter k vsem ustreznim akcijskim načrtom.</w:t>
      </w:r>
    </w:p>
    <w:tbl>
      <w:tblPr>
        <w:tblStyle w:val="Tabelamrea"/>
        <w:tblW w:w="0" w:type="auto"/>
        <w:tblLook w:val="04A0" w:firstRow="1" w:lastRow="0" w:firstColumn="1" w:lastColumn="0" w:noHBand="0" w:noVBand="1"/>
      </w:tblPr>
      <w:tblGrid>
        <w:gridCol w:w="9063"/>
      </w:tblGrid>
      <w:tr w:rsidR="00EA590A" w:rsidRPr="00EA590A" w14:paraId="7B5412D7" w14:textId="77777777" w:rsidTr="00E45665">
        <w:tc>
          <w:tcPr>
            <w:tcW w:w="9289" w:type="dxa"/>
          </w:tcPr>
          <w:p w14:paraId="7C73181E" w14:textId="77777777" w:rsidR="007C13F3" w:rsidRPr="00EA590A" w:rsidRDefault="007C13F3" w:rsidP="007C13F3">
            <w:pPr>
              <w:rPr>
                <w:sz w:val="22"/>
              </w:rPr>
            </w:pPr>
            <w:r w:rsidRPr="00EA590A">
              <w:rPr>
                <w:b/>
                <w:bCs/>
                <w:sz w:val="22"/>
              </w:rPr>
              <w:t>Skladnost operacij s pravnim okvirom EU in nacionalno zakonodajo ter prispevek k politikam Unije</w:t>
            </w:r>
          </w:p>
          <w:p w14:paraId="66712AD0" w14:textId="77777777" w:rsidR="007C13F3" w:rsidRPr="00EA590A" w:rsidRDefault="007C13F3" w:rsidP="007C13F3">
            <w:pPr>
              <w:rPr>
                <w:sz w:val="22"/>
              </w:rPr>
            </w:pPr>
            <w:r w:rsidRPr="00EA590A">
              <w:rPr>
                <w:sz w:val="22"/>
              </w:rPr>
              <w:t>Vse operacije se izvajajo v skladu s pravnim redom EU in nacionalno zakonodajo. Upoštevajo se določila Pogodbe o delovanju EU, Listine EU o temeljnih pravicah, Konvencije o statusu beguncev (s Protokolom 1967) ter Konvencije o varstvu posameznikov glede na avtomatsko obdelavo osebnih podatkov. Operacije zagotavljajo zakonito, sorazmerno in pregledno delovanje organov pregona ter varstvo temeljnih pravic, zlasti varstva osebnih podatkov, zasebnosti in pravice do učinkovitega pravnega sredstva.</w:t>
            </w:r>
          </w:p>
          <w:p w14:paraId="1E845E55" w14:textId="77777777" w:rsidR="007C13F3" w:rsidRPr="00EA590A" w:rsidRDefault="007C13F3" w:rsidP="007C13F3">
            <w:pPr>
              <w:rPr>
                <w:sz w:val="22"/>
              </w:rPr>
            </w:pPr>
            <w:r w:rsidRPr="00EA590A">
              <w:rPr>
                <w:sz w:val="22"/>
              </w:rPr>
              <w:t>Na nacionalni ravni se aktivnosti izvajajo v okviru Policije in drugih pristojnih organov, predvsem na podlagi Zakona o kazenskem postopku, Kazenskega zakonika, Zakona o nadzoru državne meje in Zakona o nalogah in pooblastilih Policije, ki določajo pogoje in nadzor nad uporabo policijskih pooblastil, tudi v čezmejnem kontekstu.</w:t>
            </w:r>
          </w:p>
          <w:p w14:paraId="5723A484" w14:textId="77777777" w:rsidR="007C13F3" w:rsidRPr="00EA590A" w:rsidRDefault="007C13F3" w:rsidP="007C13F3">
            <w:pPr>
              <w:rPr>
                <w:sz w:val="22"/>
              </w:rPr>
            </w:pPr>
            <w:r w:rsidRPr="00EA590A">
              <w:rPr>
                <w:sz w:val="22"/>
              </w:rPr>
              <w:t>Na ravni EU operacije prispevajo k izvajanju schengenskega pravnega reda, policijskega in pravosodnega sodelovanja ter ciljev notranje varnosti. Ključni pravni okvir vključuje:</w:t>
            </w:r>
          </w:p>
          <w:p w14:paraId="0D6B3A4B" w14:textId="77777777" w:rsidR="007C13F3" w:rsidRPr="00EA590A" w:rsidRDefault="007C13F3" w:rsidP="004D375D">
            <w:pPr>
              <w:numPr>
                <w:ilvl w:val="0"/>
                <w:numId w:val="30"/>
              </w:numPr>
              <w:rPr>
                <w:sz w:val="22"/>
              </w:rPr>
            </w:pPr>
            <w:r w:rsidRPr="00EA590A">
              <w:rPr>
                <w:sz w:val="22"/>
              </w:rPr>
              <w:t>Schengenski zakonik (Uredba 2016/399/EU),</w:t>
            </w:r>
          </w:p>
          <w:p w14:paraId="65A7F6A8" w14:textId="77777777" w:rsidR="007C13F3" w:rsidRPr="00EA590A" w:rsidRDefault="007C13F3" w:rsidP="004D375D">
            <w:pPr>
              <w:numPr>
                <w:ilvl w:val="0"/>
                <w:numId w:val="30"/>
              </w:numPr>
              <w:rPr>
                <w:sz w:val="22"/>
              </w:rPr>
            </w:pPr>
            <w:proofErr w:type="spellStart"/>
            <w:r w:rsidRPr="00EA590A">
              <w:rPr>
                <w:sz w:val="22"/>
              </w:rPr>
              <w:t>Prümski</w:t>
            </w:r>
            <w:proofErr w:type="spellEnd"/>
            <w:r w:rsidRPr="00EA590A">
              <w:rPr>
                <w:sz w:val="22"/>
              </w:rPr>
              <w:t xml:space="preserve"> pravni okvir (Sklep Sveta 2008/615/PNZ),</w:t>
            </w:r>
          </w:p>
          <w:p w14:paraId="77AE79B2" w14:textId="77777777" w:rsidR="007C13F3" w:rsidRPr="00EA590A" w:rsidRDefault="007C13F3" w:rsidP="004D375D">
            <w:pPr>
              <w:numPr>
                <w:ilvl w:val="0"/>
                <w:numId w:val="30"/>
              </w:numPr>
              <w:rPr>
                <w:sz w:val="22"/>
              </w:rPr>
            </w:pPr>
            <w:r w:rsidRPr="00EA590A">
              <w:rPr>
                <w:sz w:val="22"/>
              </w:rPr>
              <w:t>Uredbo 2018/1862/EU (SIS),</w:t>
            </w:r>
          </w:p>
          <w:p w14:paraId="7B7FACBA" w14:textId="77777777" w:rsidR="007C13F3" w:rsidRPr="00EA590A" w:rsidRDefault="007C13F3" w:rsidP="004D375D">
            <w:pPr>
              <w:numPr>
                <w:ilvl w:val="0"/>
                <w:numId w:val="30"/>
              </w:numPr>
              <w:rPr>
                <w:sz w:val="22"/>
              </w:rPr>
            </w:pPr>
            <w:r w:rsidRPr="00EA590A">
              <w:rPr>
                <w:sz w:val="22"/>
              </w:rPr>
              <w:t>Direktivo 2023/977/EU o izmenjavi informacij,</w:t>
            </w:r>
          </w:p>
          <w:p w14:paraId="6C126091" w14:textId="77777777" w:rsidR="007C13F3" w:rsidRPr="00EA590A" w:rsidRDefault="007C13F3" w:rsidP="004D375D">
            <w:pPr>
              <w:numPr>
                <w:ilvl w:val="0"/>
                <w:numId w:val="30"/>
              </w:numPr>
              <w:rPr>
                <w:sz w:val="22"/>
              </w:rPr>
            </w:pPr>
            <w:r w:rsidRPr="00EA590A">
              <w:rPr>
                <w:sz w:val="22"/>
              </w:rPr>
              <w:t>Uredbo 2016/794/EU (Europol) in 2018/1727/EU (</w:t>
            </w:r>
            <w:proofErr w:type="spellStart"/>
            <w:r w:rsidRPr="00EA590A">
              <w:rPr>
                <w:sz w:val="22"/>
              </w:rPr>
              <w:t>Eurojust</w:t>
            </w:r>
            <w:proofErr w:type="spellEnd"/>
            <w:r w:rsidRPr="00EA590A">
              <w:rPr>
                <w:sz w:val="22"/>
              </w:rPr>
              <w:t>),</w:t>
            </w:r>
          </w:p>
          <w:p w14:paraId="180F8467" w14:textId="77777777" w:rsidR="007C13F3" w:rsidRPr="00EA590A" w:rsidRDefault="007C13F3" w:rsidP="004D375D">
            <w:pPr>
              <w:numPr>
                <w:ilvl w:val="0"/>
                <w:numId w:val="30"/>
              </w:numPr>
              <w:rPr>
                <w:sz w:val="22"/>
              </w:rPr>
            </w:pPr>
            <w:proofErr w:type="spellStart"/>
            <w:r w:rsidRPr="00EA590A">
              <w:rPr>
                <w:sz w:val="22"/>
              </w:rPr>
              <w:t>interoperabilnostni</w:t>
            </w:r>
            <w:proofErr w:type="spellEnd"/>
            <w:r w:rsidRPr="00EA590A">
              <w:rPr>
                <w:sz w:val="22"/>
              </w:rPr>
              <w:t xml:space="preserve"> uredbi (EU) 2019/817 in 2019/818.</w:t>
            </w:r>
          </w:p>
          <w:p w14:paraId="26572249" w14:textId="77777777" w:rsidR="007C13F3" w:rsidRPr="00EA590A" w:rsidRDefault="007C13F3" w:rsidP="007C13F3">
            <w:pPr>
              <w:rPr>
                <w:sz w:val="22"/>
              </w:rPr>
            </w:pPr>
            <w:r w:rsidRPr="00EA590A">
              <w:rPr>
                <w:sz w:val="22"/>
              </w:rPr>
              <w:t>Na področju varstva osebnih podatkov se upoštevata Uredba (EU) 2016/679 (GDPR) in Direktiva (EU) 2016/680.</w:t>
            </w:r>
          </w:p>
          <w:p w14:paraId="77CB0D34" w14:textId="77777777" w:rsidR="007C13F3" w:rsidRPr="00EA590A" w:rsidRDefault="007C13F3" w:rsidP="007C13F3">
            <w:pPr>
              <w:rPr>
                <w:b/>
                <w:bCs/>
                <w:sz w:val="22"/>
              </w:rPr>
            </w:pPr>
          </w:p>
          <w:p w14:paraId="43C6770E" w14:textId="77777777" w:rsidR="007C13F3" w:rsidRPr="00EA590A" w:rsidRDefault="007C13F3" w:rsidP="007C13F3">
            <w:pPr>
              <w:rPr>
                <w:sz w:val="22"/>
              </w:rPr>
            </w:pPr>
            <w:r w:rsidRPr="00EA590A">
              <w:rPr>
                <w:b/>
                <w:bCs/>
                <w:sz w:val="22"/>
              </w:rPr>
              <w:t>Uresničevanje pravnega okvira v praksi</w:t>
            </w:r>
          </w:p>
          <w:p w14:paraId="2FD234F8" w14:textId="77777777" w:rsidR="007C13F3" w:rsidRPr="00EA590A" w:rsidRDefault="007C13F3" w:rsidP="007C13F3">
            <w:pPr>
              <w:rPr>
                <w:sz w:val="22"/>
              </w:rPr>
            </w:pPr>
            <w:r w:rsidRPr="00EA590A">
              <w:rPr>
                <w:sz w:val="22"/>
              </w:rPr>
              <w:t xml:space="preserve">Izvajanje pravnega okvira se zagotavlja prek operacij na področjih izmenjave podatkov, interoperabilnosti, </w:t>
            </w:r>
            <w:proofErr w:type="spellStart"/>
            <w:r w:rsidRPr="00EA590A">
              <w:rPr>
                <w:sz w:val="22"/>
              </w:rPr>
              <w:t>forenzike</w:t>
            </w:r>
            <w:proofErr w:type="spellEnd"/>
            <w:r w:rsidRPr="00EA590A">
              <w:rPr>
                <w:sz w:val="22"/>
              </w:rPr>
              <w:t xml:space="preserve"> in čezmejnega sodelovanja.</w:t>
            </w:r>
          </w:p>
          <w:p w14:paraId="2E46E29D" w14:textId="77777777" w:rsidR="007C13F3" w:rsidRPr="00EA590A" w:rsidRDefault="007C13F3" w:rsidP="007C13F3">
            <w:pPr>
              <w:rPr>
                <w:sz w:val="22"/>
              </w:rPr>
            </w:pPr>
            <w:r w:rsidRPr="00EA590A">
              <w:rPr>
                <w:sz w:val="22"/>
              </w:rPr>
              <w:t>Na področju PNR so bile nadgrajene informacijske rešitve (prenos na CEPIS), s čimer se uresničujejo Direktiva 2016/681/EU in Direktiva 2004/82/ES ter zahteve interoperabilnosti in varstva podatkov. Sodelovanje v EU delovnih skupinah prispeva k enotni uporabi sistema.</w:t>
            </w:r>
          </w:p>
          <w:p w14:paraId="707076AD" w14:textId="77777777" w:rsidR="007C13F3" w:rsidRPr="00EA590A" w:rsidRDefault="007C13F3" w:rsidP="007C13F3">
            <w:pPr>
              <w:rPr>
                <w:sz w:val="22"/>
              </w:rPr>
            </w:pPr>
            <w:r w:rsidRPr="00EA590A">
              <w:rPr>
                <w:sz w:val="22"/>
              </w:rPr>
              <w:t xml:space="preserve">Forenzične naložbe podpirajo izvajanje </w:t>
            </w:r>
            <w:proofErr w:type="spellStart"/>
            <w:r w:rsidRPr="00EA590A">
              <w:rPr>
                <w:sz w:val="22"/>
              </w:rPr>
              <w:t>Prümskih</w:t>
            </w:r>
            <w:proofErr w:type="spellEnd"/>
            <w:r w:rsidRPr="00EA590A">
              <w:rPr>
                <w:sz w:val="22"/>
              </w:rPr>
              <w:t xml:space="preserve"> sklepov, zlasti avtomatsko izmenjavo DNK podatkov, kar izboljšuje odkrivanje kaznivih dejanj in sodelovanje med državami članicami.</w:t>
            </w:r>
          </w:p>
          <w:p w14:paraId="2585BC4B" w14:textId="77777777" w:rsidR="007C13F3" w:rsidRPr="00EA590A" w:rsidRDefault="007C13F3" w:rsidP="007C13F3">
            <w:pPr>
              <w:rPr>
                <w:sz w:val="22"/>
              </w:rPr>
            </w:pPr>
            <w:r w:rsidRPr="00EA590A">
              <w:rPr>
                <w:sz w:val="22"/>
              </w:rPr>
              <w:t>Na področju spolnih zlorab otrok operacije podpirajo Direktivo 2011/93/EU in strategije EU, z vzpostavitvijo baz podatkov, povezovanjem z ICSE ter usposabljanjem preiskovalcev.</w:t>
            </w:r>
          </w:p>
          <w:p w14:paraId="16953D06" w14:textId="77777777" w:rsidR="007C13F3" w:rsidRPr="00EA590A" w:rsidRDefault="007C13F3" w:rsidP="007C13F3">
            <w:pPr>
              <w:rPr>
                <w:sz w:val="22"/>
              </w:rPr>
            </w:pPr>
            <w:r w:rsidRPr="00EA590A">
              <w:rPr>
                <w:sz w:val="22"/>
              </w:rPr>
              <w:t>Operacije na področju organiziranega kriminala in terorizma prispevajo k Strategiji EU za boj proti organiziranemu kriminalu (2021–2025) in Strategiji varnostne unije, z izvajanjem prikritih ukrepov, opremljanjem in operativnim sodelovanjem.</w:t>
            </w:r>
          </w:p>
          <w:p w14:paraId="7652D65C" w14:textId="77777777" w:rsidR="007C13F3" w:rsidRPr="00EA590A" w:rsidRDefault="007C13F3" w:rsidP="007C13F3">
            <w:pPr>
              <w:rPr>
                <w:sz w:val="22"/>
              </w:rPr>
            </w:pPr>
            <w:r w:rsidRPr="00EA590A">
              <w:rPr>
                <w:sz w:val="22"/>
              </w:rPr>
              <w:t>Krepitev odziva na CBRN grožnje z nabavo opreme in usposabljanjem prispeva k odpornosti EU na hibridne in teroristične grožnje.</w:t>
            </w:r>
          </w:p>
          <w:p w14:paraId="62F676B0" w14:textId="77777777" w:rsidR="007C13F3" w:rsidRPr="00EA590A" w:rsidRDefault="007C13F3" w:rsidP="007C13F3">
            <w:pPr>
              <w:rPr>
                <w:sz w:val="22"/>
              </w:rPr>
            </w:pPr>
            <w:r w:rsidRPr="00EA590A">
              <w:rPr>
                <w:sz w:val="22"/>
              </w:rPr>
              <w:t xml:space="preserve">Na področju finančnega, </w:t>
            </w:r>
            <w:proofErr w:type="spellStart"/>
            <w:r w:rsidRPr="00EA590A">
              <w:rPr>
                <w:sz w:val="22"/>
              </w:rPr>
              <w:t>okoljskega</w:t>
            </w:r>
            <w:proofErr w:type="spellEnd"/>
            <w:r w:rsidRPr="00EA590A">
              <w:rPr>
                <w:sz w:val="22"/>
              </w:rPr>
              <w:t xml:space="preserve"> in kibernetskega kriminala operacije podpirajo:</w:t>
            </w:r>
          </w:p>
          <w:p w14:paraId="2434341A" w14:textId="77777777" w:rsidR="007C13F3" w:rsidRPr="00EA590A" w:rsidRDefault="007C13F3" w:rsidP="00610233">
            <w:pPr>
              <w:numPr>
                <w:ilvl w:val="0"/>
                <w:numId w:val="31"/>
              </w:numPr>
              <w:jc w:val="left"/>
              <w:rPr>
                <w:sz w:val="22"/>
              </w:rPr>
            </w:pPr>
            <w:r w:rsidRPr="00EA590A">
              <w:rPr>
                <w:sz w:val="22"/>
              </w:rPr>
              <w:t>Direktivo (EU) 2017/1371,</w:t>
            </w:r>
          </w:p>
          <w:p w14:paraId="01BF8E15" w14:textId="77777777" w:rsidR="007C13F3" w:rsidRPr="00EA590A" w:rsidRDefault="007C13F3" w:rsidP="00610233">
            <w:pPr>
              <w:numPr>
                <w:ilvl w:val="0"/>
                <w:numId w:val="31"/>
              </w:numPr>
              <w:jc w:val="left"/>
              <w:rPr>
                <w:sz w:val="22"/>
              </w:rPr>
            </w:pPr>
            <w:r w:rsidRPr="00EA590A">
              <w:rPr>
                <w:sz w:val="22"/>
              </w:rPr>
              <w:t>Direktivo 2013/40/EU,</w:t>
            </w:r>
          </w:p>
          <w:p w14:paraId="2CBA7DCB" w14:textId="77777777" w:rsidR="007C13F3" w:rsidRPr="00EA590A" w:rsidRDefault="007C13F3" w:rsidP="00610233">
            <w:pPr>
              <w:numPr>
                <w:ilvl w:val="0"/>
                <w:numId w:val="31"/>
              </w:numPr>
              <w:jc w:val="left"/>
              <w:rPr>
                <w:sz w:val="22"/>
              </w:rPr>
            </w:pPr>
            <w:r w:rsidRPr="00EA590A">
              <w:rPr>
                <w:sz w:val="22"/>
              </w:rPr>
              <w:t>Direktivo 2014/42/EU,</w:t>
            </w:r>
            <w:r w:rsidRPr="00EA590A">
              <w:rPr>
                <w:sz w:val="22"/>
              </w:rPr>
              <w:br/>
              <w:t>ter cilje Direktive (EU) 2022/2555 (NIS 2), z nadgradnjo forenzičnih in analitskih zmogljivosti.</w:t>
            </w:r>
          </w:p>
          <w:p w14:paraId="09789723" w14:textId="77777777" w:rsidR="007C13F3" w:rsidRPr="00EA590A" w:rsidRDefault="007C13F3" w:rsidP="007C13F3">
            <w:pPr>
              <w:rPr>
                <w:sz w:val="22"/>
              </w:rPr>
            </w:pPr>
            <w:r w:rsidRPr="00EA590A">
              <w:rPr>
                <w:sz w:val="22"/>
              </w:rPr>
              <w:t>Zaščita žrtev in žvižgačev se izvaja skladno z Direktivo (EU) 2019/1937, z usposabljanji in podporo žrtvam, zlasti trgovine z ljudmi.</w:t>
            </w:r>
          </w:p>
          <w:p w14:paraId="724AE1A5" w14:textId="77777777" w:rsidR="007C13F3" w:rsidRPr="00EA590A" w:rsidRDefault="007C13F3" w:rsidP="007C13F3">
            <w:pPr>
              <w:rPr>
                <w:sz w:val="22"/>
              </w:rPr>
            </w:pPr>
            <w:r w:rsidRPr="00EA590A">
              <w:rPr>
                <w:sz w:val="22"/>
              </w:rPr>
              <w:t>Na področju kritične infrastrukture se izvajata Zakon o kritični infrastrukturi in Direktiva (EU) 2022/2557, z razvojem usposabljanj in krepitvijo odpornosti.</w:t>
            </w:r>
          </w:p>
          <w:p w14:paraId="3DBF5F2B" w14:textId="77777777" w:rsidR="007C13F3" w:rsidRPr="00EA590A" w:rsidRDefault="007C13F3" w:rsidP="007C13F3">
            <w:pPr>
              <w:rPr>
                <w:sz w:val="22"/>
              </w:rPr>
            </w:pPr>
            <w:r w:rsidRPr="00EA590A">
              <w:rPr>
                <w:sz w:val="22"/>
              </w:rPr>
              <w:t>Izvedene operacije predstavljajo skladen nabor ukrepov za prenos pravnega reda EU v prakso ter pomembno prispevajo k notranji varnosti, čezmejnemu sodelovanju in varstvu temeljnih pravic. Slovenija bo tudi v prihodnje spremljala razvoj pravnega reda EU in ustrezno prilagajala aktivnosti.</w:t>
            </w:r>
          </w:p>
          <w:p w14:paraId="1A16E4CC" w14:textId="3751395A" w:rsidR="006A41E2" w:rsidRPr="00EA590A" w:rsidRDefault="006A41E2" w:rsidP="007C13F3">
            <w:pPr>
              <w:pStyle w:val="Navadensplet"/>
              <w:jc w:val="both"/>
              <w:rPr>
                <w:sz w:val="22"/>
                <w:szCs w:val="22"/>
              </w:rPr>
            </w:pPr>
          </w:p>
        </w:tc>
      </w:tr>
    </w:tbl>
    <w:p w14:paraId="6363ACCD" w14:textId="77777777" w:rsidR="006A41E2" w:rsidRPr="00EA590A" w:rsidRDefault="00C30ACF" w:rsidP="00C30ACF">
      <w:pPr>
        <w:pStyle w:val="ManualHeading1"/>
        <w:rPr>
          <w:noProof/>
          <w:sz w:val="22"/>
        </w:rPr>
      </w:pPr>
      <w:r w:rsidRPr="00EA590A">
        <w:rPr>
          <w:sz w:val="22"/>
        </w:rPr>
        <w:t>4.</w:t>
      </w:r>
      <w:r w:rsidRPr="00EA590A">
        <w:rPr>
          <w:sz w:val="22"/>
        </w:rPr>
        <w:tab/>
      </w:r>
      <w:r w:rsidR="006A41E2" w:rsidRPr="00EA590A">
        <w:rPr>
          <w:noProof/>
          <w:sz w:val="22"/>
        </w:rPr>
        <w:t>Komuniciranje in prepoznavnost – člen 30(2), točka (e), Uredbe (EU) 2021/1149</w:t>
      </w:r>
    </w:p>
    <w:p w14:paraId="01E9277E" w14:textId="77777777" w:rsidR="006A41E2" w:rsidRPr="00EA590A" w:rsidRDefault="001B037F" w:rsidP="006A41E2">
      <w:pPr>
        <w:rPr>
          <w:noProof/>
          <w:sz w:val="22"/>
        </w:rPr>
      </w:pPr>
      <w:r w:rsidRPr="00EA590A">
        <w:rPr>
          <w:noProof/>
          <w:sz w:val="22"/>
        </w:rPr>
        <w:t>Opišite, kako so se med obračunskim letom izvajali ukrepi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9063" w:type="dxa"/>
        <w:tblLook w:val="04A0" w:firstRow="1" w:lastRow="0" w:firstColumn="1" w:lastColumn="0" w:noHBand="0" w:noVBand="1"/>
      </w:tblPr>
      <w:tblGrid>
        <w:gridCol w:w="9063"/>
      </w:tblGrid>
      <w:tr w:rsidR="00EA590A" w:rsidRPr="00EA590A" w14:paraId="0E58EB76" w14:textId="77777777" w:rsidTr="004C107A">
        <w:tc>
          <w:tcPr>
            <w:tcW w:w="9063" w:type="dxa"/>
          </w:tcPr>
          <w:p w14:paraId="22CA06D2" w14:textId="77777777" w:rsidR="005533B0" w:rsidRPr="00EA590A" w:rsidRDefault="005533B0" w:rsidP="005533B0">
            <w:pPr>
              <w:pStyle w:val="Personnequisigne"/>
              <w:jc w:val="both"/>
              <w:rPr>
                <w:i w:val="0"/>
                <w:sz w:val="22"/>
              </w:rPr>
            </w:pPr>
            <w:bookmarkStart w:id="3" w:name="_Hlk219891038"/>
            <w:r w:rsidRPr="00EA590A">
              <w:rPr>
                <w:i w:val="0"/>
                <w:sz w:val="22"/>
              </w:rPr>
              <w:t xml:space="preserve">Slovenija je v obračunskem obdobju poročanja sledila vzpostavljeni dobri praksi v zvezi s komunikacijskimi aktivnostmi za promocijo ukrepov financiranih iz programa SNV. </w:t>
            </w:r>
          </w:p>
          <w:p w14:paraId="3B745FC2" w14:textId="77777777" w:rsidR="005533B0" w:rsidRPr="00EA590A" w:rsidRDefault="005533B0" w:rsidP="005533B0">
            <w:pPr>
              <w:tabs>
                <w:tab w:val="left" w:pos="4252"/>
              </w:tabs>
              <w:autoSpaceDE w:val="0"/>
              <w:autoSpaceDN w:val="0"/>
              <w:adjustRightInd w:val="0"/>
              <w:spacing w:before="0" w:after="0"/>
              <w:rPr>
                <w:sz w:val="22"/>
              </w:rPr>
            </w:pPr>
          </w:p>
          <w:p w14:paraId="7A8A7B87" w14:textId="77777777" w:rsidR="005533B0" w:rsidRPr="00EA590A" w:rsidRDefault="005533B0" w:rsidP="005533B0">
            <w:pPr>
              <w:tabs>
                <w:tab w:val="left" w:pos="4252"/>
              </w:tabs>
              <w:autoSpaceDE w:val="0"/>
              <w:autoSpaceDN w:val="0"/>
              <w:adjustRightInd w:val="0"/>
              <w:spacing w:before="0" w:after="0"/>
              <w:rPr>
                <w:sz w:val="22"/>
              </w:rPr>
            </w:pPr>
            <w:r w:rsidRPr="00EA590A">
              <w:rPr>
                <w:sz w:val="22"/>
              </w:rPr>
              <w:t xml:space="preserve">Za promocijo možnosti, ki jih ponujajo EU skladi, je bilo načrtovanih 6 - </w:t>
            </w:r>
            <w:r w:rsidRPr="00EA590A">
              <w:rPr>
                <w:b/>
                <w:bCs/>
                <w:sz w:val="22"/>
              </w:rPr>
              <w:t>Potujočih pisarn,</w:t>
            </w:r>
            <w:r w:rsidRPr="00EA590A">
              <w:rPr>
                <w:sz w:val="22"/>
              </w:rPr>
              <w:t xml:space="preserve"> organiziranih v sodelovanju z lokalnimi skupnostnimi in promoviranih na spletu in socialnih omrežjih. SNV smo predstavili na 3 - Postojna, Vinica in Ljubljana, udeležencev je bilo 50 do 100, odvisno od lokacije.</w:t>
            </w:r>
          </w:p>
          <w:p w14:paraId="2DB1D305" w14:textId="77777777" w:rsidR="005533B0" w:rsidRPr="00EA590A" w:rsidRDefault="005533B0" w:rsidP="005533B0">
            <w:pPr>
              <w:autoSpaceDE w:val="0"/>
              <w:autoSpaceDN w:val="0"/>
              <w:adjustRightInd w:val="0"/>
              <w:spacing w:before="0" w:after="0"/>
              <w:rPr>
                <w:b/>
                <w:sz w:val="22"/>
              </w:rPr>
            </w:pPr>
          </w:p>
          <w:p w14:paraId="19F92CBA" w14:textId="1C39AE4B" w:rsidR="005533B0" w:rsidRPr="00EA590A" w:rsidRDefault="005533B0" w:rsidP="005533B0">
            <w:pPr>
              <w:autoSpaceDE w:val="0"/>
              <w:autoSpaceDN w:val="0"/>
              <w:adjustRightInd w:val="0"/>
              <w:spacing w:before="0" w:after="0"/>
              <w:rPr>
                <w:sz w:val="22"/>
              </w:rPr>
            </w:pPr>
            <w:r w:rsidRPr="00EA590A">
              <w:rPr>
                <w:bCs/>
                <w:sz w:val="22"/>
              </w:rPr>
              <w:t xml:space="preserve">V okviru promocijske akcije </w:t>
            </w:r>
            <w:r w:rsidRPr="00EA590A">
              <w:rPr>
                <w:b/>
                <w:sz w:val="22"/>
              </w:rPr>
              <w:t>»EU projekt, moj projekt 2024«</w:t>
            </w:r>
            <w:r w:rsidRPr="00EA590A">
              <w:rPr>
                <w:bCs/>
                <w:sz w:val="22"/>
              </w:rPr>
              <w:t xml:space="preserve"> je bilo na ravni Slovenije izbranih 20 projektov, (so)financiranih iz EU sredstev, ki so izvedli predstavitve, eden pa je izbran za zmagovalnega. SNV sta predstavljala »</w:t>
            </w:r>
            <w:r w:rsidRPr="00EA590A">
              <w:rPr>
                <w:sz w:val="22"/>
              </w:rPr>
              <w:t>Okrepitev opreme nacionalnega forenzičnega laboratorija«.  6.</w:t>
            </w:r>
            <w:r w:rsidR="00592D93" w:rsidRPr="00EA590A">
              <w:rPr>
                <w:sz w:val="22"/>
              </w:rPr>
              <w:t> </w:t>
            </w:r>
            <w:r w:rsidRPr="00EA590A">
              <w:rPr>
                <w:sz w:val="22"/>
              </w:rPr>
              <w:t>11.</w:t>
            </w:r>
            <w:r w:rsidR="00592D93" w:rsidRPr="00EA590A">
              <w:rPr>
                <w:sz w:val="22"/>
              </w:rPr>
              <w:t> </w:t>
            </w:r>
            <w:r w:rsidRPr="00EA590A">
              <w:rPr>
                <w:sz w:val="22"/>
              </w:rPr>
              <w:t>2024 so v Ljubljani predstavniki Nacionalnega forenzičnega laboratorija slovenske Policije prikazali</w:t>
            </w:r>
            <w:r w:rsidR="00592D93" w:rsidRPr="00EA590A">
              <w:rPr>
                <w:sz w:val="22"/>
              </w:rPr>
              <w:t xml:space="preserve">, </w:t>
            </w:r>
            <w:r w:rsidRPr="00EA590A">
              <w:rPr>
                <w:sz w:val="22"/>
              </w:rPr>
              <w:t>kako pri svojem preiskovalnem delu uporabljajo raznolike metode za preiskave  dokumentov, rokopisov, denarja, fotografij in videoposnetkov.  Za »Okrepitev opreme specialne enote policije« je bila 15.</w:t>
            </w:r>
            <w:r w:rsidR="00592D93" w:rsidRPr="00EA590A">
              <w:rPr>
                <w:sz w:val="22"/>
              </w:rPr>
              <w:t> </w:t>
            </w:r>
            <w:r w:rsidRPr="00EA590A">
              <w:rPr>
                <w:sz w:val="22"/>
              </w:rPr>
              <w:t>9.</w:t>
            </w:r>
            <w:r w:rsidR="00592D93" w:rsidRPr="00EA590A">
              <w:rPr>
                <w:sz w:val="22"/>
              </w:rPr>
              <w:t> </w:t>
            </w:r>
            <w:r w:rsidRPr="00EA590A">
              <w:rPr>
                <w:sz w:val="22"/>
              </w:rPr>
              <w:t xml:space="preserve">2024, v Pivki na  </w:t>
            </w:r>
            <w:proofErr w:type="spellStart"/>
            <w:r w:rsidRPr="00EA590A">
              <w:rPr>
                <w:sz w:val="22"/>
              </w:rPr>
              <w:t>ZgodoVikendu</w:t>
            </w:r>
            <w:proofErr w:type="spellEnd"/>
            <w:r w:rsidRPr="00EA590A">
              <w:rPr>
                <w:sz w:val="22"/>
              </w:rPr>
              <w:t>, v živo predstavljena simulacij</w:t>
            </w:r>
            <w:r w:rsidR="00592D93" w:rsidRPr="00EA590A">
              <w:rPr>
                <w:sz w:val="22"/>
              </w:rPr>
              <w:t>a</w:t>
            </w:r>
            <w:r w:rsidRPr="00EA590A">
              <w:rPr>
                <w:sz w:val="22"/>
              </w:rPr>
              <w:t xml:space="preserve"> delovanja robota za pristop do nevarnih in sumljivih predmetov ter eksplozivnih naprav. Predstavitev je navdušila več kot 5.000 prisotnih.</w:t>
            </w:r>
          </w:p>
          <w:p w14:paraId="0735A11C" w14:textId="77777777" w:rsidR="005533B0" w:rsidRPr="00EA590A" w:rsidRDefault="005533B0" w:rsidP="005533B0">
            <w:pPr>
              <w:tabs>
                <w:tab w:val="left" w:pos="4252"/>
              </w:tabs>
              <w:autoSpaceDE w:val="0"/>
              <w:autoSpaceDN w:val="0"/>
              <w:adjustRightInd w:val="0"/>
              <w:spacing w:before="0" w:after="0"/>
              <w:rPr>
                <w:bCs/>
                <w:sz w:val="22"/>
              </w:rPr>
            </w:pPr>
          </w:p>
          <w:p w14:paraId="2F7251DD" w14:textId="77777777" w:rsidR="005533B0" w:rsidRPr="00EA590A" w:rsidRDefault="005533B0" w:rsidP="005533B0">
            <w:pPr>
              <w:tabs>
                <w:tab w:val="left" w:pos="4252"/>
              </w:tabs>
              <w:autoSpaceDE w:val="0"/>
              <w:autoSpaceDN w:val="0"/>
              <w:adjustRightInd w:val="0"/>
              <w:spacing w:before="0" w:after="0"/>
              <w:rPr>
                <w:bCs/>
                <w:sz w:val="22"/>
              </w:rPr>
            </w:pPr>
          </w:p>
          <w:p w14:paraId="4FBB68F2" w14:textId="77777777" w:rsidR="005533B0" w:rsidRPr="00EA590A" w:rsidRDefault="005533B0" w:rsidP="005533B0">
            <w:pPr>
              <w:tabs>
                <w:tab w:val="left" w:pos="4252"/>
              </w:tabs>
              <w:autoSpaceDE w:val="0"/>
              <w:autoSpaceDN w:val="0"/>
              <w:adjustRightInd w:val="0"/>
              <w:spacing w:before="0" w:after="0"/>
              <w:rPr>
                <w:bCs/>
                <w:sz w:val="22"/>
              </w:rPr>
            </w:pPr>
            <w:r w:rsidRPr="00EA590A">
              <w:rPr>
                <w:bCs/>
                <w:sz w:val="22"/>
              </w:rPr>
              <w:t>Dogodka smo promovirali preko tiskanih medijev (doseg medija 117.000 oseb), spletnih strani (Evropska sredstva, spletne strani upravičencev), socialnih omrežij (FB - doseg do 50.000 oseb in LN- doseg okoli 4.000 oseb), radia (doseg okoli 14.000) in televizije (doseg oglasov nad 25.000).</w:t>
            </w:r>
          </w:p>
          <w:p w14:paraId="63B5E7B3" w14:textId="77777777" w:rsidR="005533B0" w:rsidRPr="00EA590A" w:rsidRDefault="005533B0" w:rsidP="005533B0">
            <w:pPr>
              <w:tabs>
                <w:tab w:val="left" w:pos="4252"/>
              </w:tabs>
              <w:autoSpaceDE w:val="0"/>
              <w:autoSpaceDN w:val="0"/>
              <w:adjustRightInd w:val="0"/>
              <w:spacing w:before="0" w:after="0"/>
              <w:rPr>
                <w:bCs/>
                <w:sz w:val="22"/>
              </w:rPr>
            </w:pPr>
          </w:p>
          <w:p w14:paraId="5486AB6C" w14:textId="77777777" w:rsidR="005533B0" w:rsidRPr="00EA590A" w:rsidRDefault="005533B0" w:rsidP="005533B0">
            <w:pPr>
              <w:tabs>
                <w:tab w:val="left" w:pos="4252"/>
              </w:tabs>
              <w:autoSpaceDE w:val="0"/>
              <w:autoSpaceDN w:val="0"/>
              <w:adjustRightInd w:val="0"/>
              <w:spacing w:before="0" w:after="0"/>
              <w:rPr>
                <w:sz w:val="22"/>
              </w:rPr>
            </w:pPr>
          </w:p>
          <w:p w14:paraId="4D6B2F91" w14:textId="14D22F7F" w:rsidR="005533B0" w:rsidRPr="00EA590A" w:rsidRDefault="005533B0" w:rsidP="005533B0">
            <w:pPr>
              <w:tabs>
                <w:tab w:val="left" w:pos="4252"/>
              </w:tabs>
              <w:autoSpaceDE w:val="0"/>
              <w:autoSpaceDN w:val="0"/>
              <w:adjustRightInd w:val="0"/>
              <w:spacing w:before="0" w:after="0"/>
              <w:rPr>
                <w:bCs/>
                <w:sz w:val="22"/>
              </w:rPr>
            </w:pPr>
            <w:r w:rsidRPr="00EA590A">
              <w:rPr>
                <w:bCs/>
                <w:sz w:val="22"/>
              </w:rPr>
              <w:t xml:space="preserve">V letu 2025 smo nadaljevali s promocijsko akcijo </w:t>
            </w:r>
            <w:r w:rsidRPr="00EA590A">
              <w:rPr>
                <w:b/>
                <w:sz w:val="22"/>
              </w:rPr>
              <w:t>»EU projekt, moj projekt 2025«</w:t>
            </w:r>
            <w:r w:rsidRPr="00EA590A">
              <w:rPr>
                <w:bCs/>
                <w:sz w:val="22"/>
              </w:rPr>
              <w:t>, kjer je SNV zastopal projekt »Posodobitev kart -POSKART«. D</w:t>
            </w:r>
            <w:r w:rsidRPr="00EA590A">
              <w:rPr>
                <w:sz w:val="22"/>
              </w:rPr>
              <w:t>ogodk</w:t>
            </w:r>
            <w:r w:rsidR="00592D93" w:rsidRPr="00EA590A">
              <w:rPr>
                <w:sz w:val="22"/>
              </w:rPr>
              <w:t>i</w:t>
            </w:r>
            <w:r w:rsidRPr="00EA590A">
              <w:rPr>
                <w:sz w:val="22"/>
              </w:rPr>
              <w:t xml:space="preserve"> so bili izvedeni v drugi polovici leta 2025, zato bodo predmet naslednjega poročanja.</w:t>
            </w:r>
          </w:p>
          <w:p w14:paraId="240CA5A5" w14:textId="2979ECBE" w:rsidR="005533B0" w:rsidRPr="00EA590A" w:rsidRDefault="005533B0" w:rsidP="005533B0">
            <w:pPr>
              <w:autoSpaceDE w:val="0"/>
              <w:autoSpaceDN w:val="0"/>
              <w:adjustRightInd w:val="0"/>
              <w:spacing w:before="240" w:after="0"/>
              <w:rPr>
                <w:sz w:val="22"/>
              </w:rPr>
            </w:pPr>
            <w:r w:rsidRPr="00EA590A">
              <w:rPr>
                <w:b/>
                <w:bCs/>
                <w:sz w:val="22"/>
              </w:rPr>
              <w:t>Obeležili smo Dan Evrope</w:t>
            </w:r>
            <w:r w:rsidRPr="00EA590A">
              <w:rPr>
                <w:sz w:val="22"/>
              </w:rPr>
              <w:t>, 9.</w:t>
            </w:r>
            <w:r w:rsidR="00592D93" w:rsidRPr="00EA590A">
              <w:rPr>
                <w:sz w:val="22"/>
              </w:rPr>
              <w:t> </w:t>
            </w:r>
            <w:r w:rsidRPr="00EA590A">
              <w:rPr>
                <w:sz w:val="22"/>
              </w:rPr>
              <w:t>5.</w:t>
            </w:r>
            <w:r w:rsidR="00592D93" w:rsidRPr="00EA590A">
              <w:rPr>
                <w:sz w:val="22"/>
              </w:rPr>
              <w:t> </w:t>
            </w:r>
            <w:r w:rsidRPr="00EA590A">
              <w:rPr>
                <w:sz w:val="22"/>
              </w:rPr>
              <w:t>2025, dogodek na prostem, odprtega tipa za splošno in zainteresirano javnost, z nagovorom predsednice države, kjer so sodelovali vsi CPR skladi, SNV so zastopali vodniki službenih policijskih psov in maskota policije Medved Leon.</w:t>
            </w:r>
          </w:p>
          <w:p w14:paraId="143B67DC" w14:textId="4D68942F" w:rsidR="005533B0" w:rsidRPr="00EA590A" w:rsidRDefault="005533B0" w:rsidP="005533B0">
            <w:pPr>
              <w:autoSpaceDE w:val="0"/>
              <w:autoSpaceDN w:val="0"/>
              <w:adjustRightInd w:val="0"/>
              <w:spacing w:before="240" w:after="0"/>
              <w:rPr>
                <w:sz w:val="22"/>
              </w:rPr>
            </w:pPr>
            <w:r w:rsidRPr="00EA590A">
              <w:rPr>
                <w:sz w:val="22"/>
              </w:rPr>
              <w:t xml:space="preserve">V začetku 2025 smo organizirali tudi </w:t>
            </w:r>
            <w:r w:rsidRPr="00EA590A">
              <w:rPr>
                <w:b/>
                <w:bCs/>
                <w:sz w:val="22"/>
              </w:rPr>
              <w:t>slavnostni dogodek ob zaključku programskega obdobj</w:t>
            </w:r>
            <w:r w:rsidRPr="00EA590A">
              <w:rPr>
                <w:sz w:val="22"/>
              </w:rPr>
              <w:t>a 2014 - 2020. Pripravili smo razstavo uspešnih sofinanciranih projektov iz AMIF in SNV – za prikaz</w:t>
            </w:r>
            <w:r w:rsidR="00592D93" w:rsidRPr="00EA590A">
              <w:rPr>
                <w:sz w:val="22"/>
              </w:rPr>
              <w:t>,</w:t>
            </w:r>
            <w:r w:rsidRPr="00EA590A">
              <w:rPr>
                <w:sz w:val="22"/>
              </w:rPr>
              <w:t xml:space="preserve"> da EU sredstva v Sloveniji omogočajo boljše in kvalitetnejše </w:t>
            </w:r>
            <w:r w:rsidR="00592D93" w:rsidRPr="00EA590A">
              <w:rPr>
                <w:sz w:val="22"/>
              </w:rPr>
              <w:t xml:space="preserve">življenje </w:t>
            </w:r>
            <w:r w:rsidRPr="00EA590A">
              <w:rPr>
                <w:sz w:val="22"/>
              </w:rPr>
              <w:t>na številnih področjih. Želja je, da bi šlo za potujočo razstavo, ki bi se lahko na različnih lokacijah predstavljala.</w:t>
            </w:r>
          </w:p>
          <w:p w14:paraId="460C303F" w14:textId="77777777" w:rsidR="005533B0" w:rsidRPr="00EA590A" w:rsidRDefault="005533B0" w:rsidP="005533B0">
            <w:pPr>
              <w:autoSpaceDE w:val="0"/>
              <w:autoSpaceDN w:val="0"/>
              <w:adjustRightInd w:val="0"/>
              <w:spacing w:before="240" w:after="0"/>
              <w:rPr>
                <w:bCs/>
                <w:sz w:val="22"/>
              </w:rPr>
            </w:pPr>
            <w:r w:rsidRPr="00EA590A">
              <w:rPr>
                <w:sz w:val="22"/>
              </w:rPr>
              <w:t>Gre za izjemno prodorne in obiskane dogodke, zato bomo s tem nadaljevali ali jih celo razširili z</w:t>
            </w:r>
            <w:r w:rsidRPr="00EA590A">
              <w:rPr>
                <w:bCs/>
                <w:sz w:val="22"/>
              </w:rPr>
              <w:t xml:space="preserve"> nagradami za tiste, ki glasujejo, s ciljem večje angažiranosti in vidnosti.</w:t>
            </w:r>
          </w:p>
          <w:p w14:paraId="5CA3CC1C" w14:textId="77777777" w:rsidR="005533B0" w:rsidRPr="00EA590A" w:rsidRDefault="005533B0" w:rsidP="005533B0">
            <w:pPr>
              <w:autoSpaceDE w:val="0"/>
              <w:autoSpaceDN w:val="0"/>
              <w:adjustRightInd w:val="0"/>
              <w:spacing w:before="240" w:after="0"/>
              <w:rPr>
                <w:sz w:val="22"/>
              </w:rPr>
            </w:pPr>
            <w:r w:rsidRPr="00EA590A">
              <w:rPr>
                <w:sz w:val="22"/>
              </w:rPr>
              <w:t>OU zagotavlja, da so vsebine v zvezi s skladom SNV objavljene in redno posodabljane na enotnem spletnem portalu. Ogledi (1.421) in dejavnosti (2.866  - branje, klik, prenos dokumenta) so se, v primerjavi s preteklim obdobjem poročanja, povečali. Največ jih beležimo na podstraneh z navodili, sledijo programski dokumenti, akcijski načrti ipd. OU se bo vključil v dodajanje dobrih zgodb in opise operacij. Dodatnih aktivnosti za povečanje obiska spletne strani ne načrtujemo.</w:t>
            </w:r>
          </w:p>
          <w:p w14:paraId="12DA253E" w14:textId="77777777" w:rsidR="005533B0" w:rsidRPr="00EA590A" w:rsidRDefault="005533B0" w:rsidP="005533B0">
            <w:pPr>
              <w:autoSpaceDE w:val="0"/>
              <w:autoSpaceDN w:val="0"/>
              <w:adjustRightInd w:val="0"/>
              <w:spacing w:before="0" w:after="0"/>
              <w:rPr>
                <w:sz w:val="22"/>
              </w:rPr>
            </w:pPr>
          </w:p>
          <w:p w14:paraId="55D3718C" w14:textId="45BC6C5F" w:rsidR="005533B0" w:rsidRPr="00EA590A" w:rsidRDefault="005533B0" w:rsidP="005533B0">
            <w:pPr>
              <w:tabs>
                <w:tab w:val="left" w:pos="4252"/>
              </w:tabs>
              <w:autoSpaceDE w:val="0"/>
              <w:autoSpaceDN w:val="0"/>
              <w:adjustRightInd w:val="0"/>
              <w:spacing w:before="0" w:after="0"/>
              <w:rPr>
                <w:sz w:val="22"/>
              </w:rPr>
            </w:pPr>
            <w:r w:rsidRPr="00EA590A">
              <w:rPr>
                <w:sz w:val="22"/>
              </w:rPr>
              <w:t>Aktivnostih za povečanje prepoznavnosti vsebin in operacij, (so)financiranih iz programa SNV</w:t>
            </w:r>
            <w:r w:rsidR="009D4C8B" w:rsidRPr="00EA590A">
              <w:rPr>
                <w:sz w:val="22"/>
              </w:rPr>
              <w:t>,</w:t>
            </w:r>
            <w:r w:rsidRPr="00EA590A">
              <w:rPr>
                <w:sz w:val="22"/>
              </w:rPr>
              <w:t xml:space="preserve"> so potekale na Intranetu MNZ in družbenih omrežjih MNZ (FB in X), Policijskem FB, evropska sredstva FB, evropska sredstva Linkedin. Prav tako spodbujamo upravičence za objave na njihovih spletnih straneh in družbenih omrežjih za povečanje vidno</w:t>
            </w:r>
            <w:r w:rsidR="009D4C8B" w:rsidRPr="00EA590A">
              <w:rPr>
                <w:sz w:val="22"/>
              </w:rPr>
              <w:t>sti</w:t>
            </w:r>
            <w:r w:rsidRPr="00EA590A">
              <w:rPr>
                <w:sz w:val="22"/>
              </w:rPr>
              <w:t xml:space="preserve"> EU (so)financiranja iz programov AMIF, SNV in IUMV. Še vedno spodbujamo</w:t>
            </w:r>
            <w:r w:rsidR="00EA4150" w:rsidRPr="00EA590A">
              <w:rPr>
                <w:sz w:val="22"/>
              </w:rPr>
              <w:t xml:space="preserve"> uporabo ključnikov</w:t>
            </w:r>
            <w:r w:rsidRPr="00EA590A">
              <w:rPr>
                <w:sz w:val="22"/>
              </w:rPr>
              <w:t>, zaradi lažjega sledenj</w:t>
            </w:r>
            <w:r w:rsidR="00EA4150" w:rsidRPr="00EA590A">
              <w:rPr>
                <w:sz w:val="22"/>
              </w:rPr>
              <w:t>a</w:t>
            </w:r>
            <w:r w:rsidRPr="00EA590A">
              <w:rPr>
                <w:sz w:val="22"/>
              </w:rPr>
              <w:t xml:space="preserve"> objavam.</w:t>
            </w:r>
          </w:p>
          <w:p w14:paraId="2BB7E047" w14:textId="77777777" w:rsidR="005533B0" w:rsidRPr="00EA590A" w:rsidRDefault="005533B0" w:rsidP="005533B0">
            <w:pPr>
              <w:tabs>
                <w:tab w:val="left" w:pos="4252"/>
              </w:tabs>
              <w:autoSpaceDE w:val="0"/>
              <w:autoSpaceDN w:val="0"/>
              <w:adjustRightInd w:val="0"/>
              <w:spacing w:before="0" w:after="0"/>
              <w:rPr>
                <w:sz w:val="22"/>
              </w:rPr>
            </w:pPr>
          </w:p>
          <w:p w14:paraId="4823C428" w14:textId="77777777" w:rsidR="005533B0" w:rsidRPr="00EA590A" w:rsidRDefault="005533B0" w:rsidP="005533B0">
            <w:pPr>
              <w:tabs>
                <w:tab w:val="left" w:pos="4252"/>
              </w:tabs>
              <w:autoSpaceDE w:val="0"/>
              <w:autoSpaceDN w:val="0"/>
              <w:adjustRightInd w:val="0"/>
              <w:spacing w:before="0" w:after="0"/>
              <w:rPr>
                <w:sz w:val="22"/>
              </w:rPr>
            </w:pPr>
            <w:r w:rsidRPr="00EA590A">
              <w:rPr>
                <w:sz w:val="22"/>
                <w:u w:val="single"/>
              </w:rPr>
              <w:t>Na FB MNZ</w:t>
            </w:r>
            <w:r w:rsidRPr="00EA590A">
              <w:rPr>
                <w:sz w:val="22"/>
              </w:rPr>
              <w:t xml:space="preserve"> je bilo v tem obdobju objavljenih 26 objav (22 slikovnih in štiri objave, ki vsebujejo videoposnetke). Skupno si je objave ogledalo 21.588 uporabnikov. Od teh je bil največji doseg pri objavah v temi pobude EU z dosegom 8.099 uporabnikov. Objava, ki je dosegla najboljšo gledanost, je bila objava z naslovom »Z evropskimi sredstvi do posodobljenih prostorov za vodnike službenih psov« (11. 3. 2024), in sicer 4.417 uporabnikov.</w:t>
            </w:r>
          </w:p>
          <w:p w14:paraId="1F290D7F" w14:textId="77777777" w:rsidR="005533B0" w:rsidRPr="00EA590A" w:rsidRDefault="005533B0" w:rsidP="005533B0">
            <w:pPr>
              <w:tabs>
                <w:tab w:val="left" w:pos="4252"/>
              </w:tabs>
              <w:autoSpaceDE w:val="0"/>
              <w:autoSpaceDN w:val="0"/>
              <w:adjustRightInd w:val="0"/>
              <w:spacing w:before="0" w:after="0"/>
              <w:rPr>
                <w:sz w:val="22"/>
              </w:rPr>
            </w:pPr>
          </w:p>
          <w:p w14:paraId="04F7883F" w14:textId="77777777" w:rsidR="005533B0" w:rsidRPr="00EA590A" w:rsidRDefault="005533B0" w:rsidP="005533B0">
            <w:pPr>
              <w:tabs>
                <w:tab w:val="left" w:pos="4252"/>
              </w:tabs>
              <w:autoSpaceDE w:val="0"/>
              <w:autoSpaceDN w:val="0"/>
              <w:adjustRightInd w:val="0"/>
              <w:spacing w:before="0" w:after="0"/>
              <w:rPr>
                <w:sz w:val="22"/>
              </w:rPr>
            </w:pPr>
            <w:r w:rsidRPr="00EA590A">
              <w:rPr>
                <w:sz w:val="22"/>
                <w:u w:val="single"/>
              </w:rPr>
              <w:t>Na FB Evropska sredstva</w:t>
            </w:r>
            <w:r w:rsidRPr="00EA590A">
              <w:rPr>
                <w:sz w:val="22"/>
              </w:rPr>
              <w:t xml:space="preserve"> je bilo narejenih 31 objav (video in slike), od tega 3 z videoposnetki za dobre EU zgodbe (Usposabljanja policistov za varno vožnjo, Detektorji srčnega utripa ter Specialna enota Policije) - skupno si jih je ogledalo 521.385 uporabnikov. </w:t>
            </w:r>
          </w:p>
          <w:p w14:paraId="27329AD3" w14:textId="77777777" w:rsidR="005533B0" w:rsidRPr="00EA590A" w:rsidRDefault="005533B0" w:rsidP="005533B0">
            <w:pPr>
              <w:tabs>
                <w:tab w:val="left" w:pos="4252"/>
              </w:tabs>
              <w:autoSpaceDE w:val="0"/>
              <w:autoSpaceDN w:val="0"/>
              <w:adjustRightInd w:val="0"/>
              <w:spacing w:before="0" w:after="0"/>
              <w:rPr>
                <w:sz w:val="22"/>
              </w:rPr>
            </w:pPr>
          </w:p>
          <w:p w14:paraId="5B6A647F" w14:textId="14F63951" w:rsidR="005533B0" w:rsidRPr="00EA590A" w:rsidRDefault="005533B0" w:rsidP="005533B0">
            <w:pPr>
              <w:tabs>
                <w:tab w:val="left" w:pos="4252"/>
              </w:tabs>
              <w:autoSpaceDE w:val="0"/>
              <w:autoSpaceDN w:val="0"/>
              <w:adjustRightInd w:val="0"/>
              <w:spacing w:before="0" w:after="0"/>
              <w:rPr>
                <w:sz w:val="22"/>
              </w:rPr>
            </w:pPr>
            <w:r w:rsidRPr="00EA590A">
              <w:rPr>
                <w:sz w:val="22"/>
              </w:rPr>
              <w:t xml:space="preserve">Na omrežju </w:t>
            </w:r>
            <w:r w:rsidRPr="00EA590A">
              <w:rPr>
                <w:sz w:val="22"/>
                <w:u w:val="single"/>
              </w:rPr>
              <w:t>X MNZ</w:t>
            </w:r>
            <w:r w:rsidRPr="00EA590A">
              <w:rPr>
                <w:sz w:val="22"/>
              </w:rPr>
              <w:t xml:space="preserve"> je bilo v obdobju narejenih 6 slikovnih objav, ki si jih je skupno ogledalo 4.913 uporabnikov. Od teh je bil največji doseg pri temi mednarodni dnevi z dosegom 2.381 uporabnikov. Objava, ki je dosegla najboljšo gledanost, je bila objava z naslovom »Jutri je evropski dan boja proti trgovini z ljudmi« (17.</w:t>
            </w:r>
            <w:r w:rsidR="00EA4150" w:rsidRPr="00EA590A">
              <w:rPr>
                <w:sz w:val="22"/>
              </w:rPr>
              <w:t> </w:t>
            </w:r>
            <w:r w:rsidRPr="00EA590A">
              <w:rPr>
                <w:sz w:val="22"/>
              </w:rPr>
              <w:t>10.</w:t>
            </w:r>
            <w:r w:rsidR="00EA4150" w:rsidRPr="00EA590A">
              <w:rPr>
                <w:sz w:val="22"/>
              </w:rPr>
              <w:t> </w:t>
            </w:r>
            <w:r w:rsidRPr="00EA590A">
              <w:rPr>
                <w:sz w:val="22"/>
              </w:rPr>
              <w:t>2024), in sicer 1.503 uporabnikov.</w:t>
            </w:r>
          </w:p>
          <w:p w14:paraId="1B9E3FCB" w14:textId="77777777" w:rsidR="005533B0" w:rsidRPr="00EA590A" w:rsidRDefault="005533B0" w:rsidP="005533B0">
            <w:pPr>
              <w:tabs>
                <w:tab w:val="left" w:pos="4252"/>
              </w:tabs>
              <w:autoSpaceDE w:val="0"/>
              <w:autoSpaceDN w:val="0"/>
              <w:adjustRightInd w:val="0"/>
              <w:spacing w:before="0" w:after="0"/>
              <w:rPr>
                <w:sz w:val="22"/>
              </w:rPr>
            </w:pPr>
          </w:p>
          <w:p w14:paraId="2102188D" w14:textId="77777777" w:rsidR="005533B0" w:rsidRPr="00EA590A" w:rsidRDefault="005533B0" w:rsidP="005533B0">
            <w:pPr>
              <w:tabs>
                <w:tab w:val="left" w:pos="4252"/>
              </w:tabs>
              <w:autoSpaceDE w:val="0"/>
              <w:autoSpaceDN w:val="0"/>
              <w:adjustRightInd w:val="0"/>
              <w:spacing w:before="0" w:after="0"/>
              <w:rPr>
                <w:sz w:val="22"/>
              </w:rPr>
            </w:pPr>
            <w:r w:rsidRPr="00EA590A">
              <w:rPr>
                <w:sz w:val="22"/>
              </w:rPr>
              <w:t>Poleg tega smo prisotni v mesečniku Vizija kohezija (cca 4000 naročnikov), kjer se dogovarjamo, da bi v prihodnosti bil določen prostor namenjen samo aktivnostim naših skladov.</w:t>
            </w:r>
          </w:p>
          <w:p w14:paraId="5C8090A6" w14:textId="77777777" w:rsidR="004C107A" w:rsidRPr="00EA590A" w:rsidRDefault="004C107A" w:rsidP="00114770">
            <w:pPr>
              <w:autoSpaceDE w:val="0"/>
              <w:autoSpaceDN w:val="0"/>
              <w:adjustRightInd w:val="0"/>
              <w:spacing w:before="0" w:after="0"/>
              <w:rPr>
                <w:sz w:val="22"/>
              </w:rPr>
            </w:pPr>
          </w:p>
        </w:tc>
      </w:tr>
    </w:tbl>
    <w:bookmarkEnd w:id="3"/>
    <w:p w14:paraId="044DB44F" w14:textId="77777777" w:rsidR="006A41E2" w:rsidRPr="00EA590A" w:rsidRDefault="001B037F" w:rsidP="006A41E2">
      <w:pPr>
        <w:rPr>
          <w:noProof/>
          <w:sz w:val="22"/>
        </w:rPr>
      </w:pPr>
      <w:r w:rsidRPr="00EA590A">
        <w:rPr>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EA590A" w:rsidRPr="00EA590A" w14:paraId="236B59FF" w14:textId="77777777" w:rsidTr="00E45665">
        <w:tc>
          <w:tcPr>
            <w:tcW w:w="9289" w:type="dxa"/>
          </w:tcPr>
          <w:p w14:paraId="340AF525" w14:textId="5DEB1C34" w:rsidR="006A41E2" w:rsidRPr="00EA590A" w:rsidRDefault="00EA590A" w:rsidP="00C63931">
            <w:pPr>
              <w:pStyle w:val="Personnequisigne"/>
              <w:jc w:val="both"/>
              <w:rPr>
                <w:i w:val="0"/>
                <w:noProof/>
                <w:sz w:val="22"/>
              </w:rPr>
            </w:pPr>
            <w:hyperlink r:id="rId11" w:tgtFrame="_new" w:history="1">
              <w:r w:rsidRPr="00EA590A">
                <w:rPr>
                  <w:rStyle w:val="Hiperpovezava"/>
                  <w:i w:val="0"/>
                  <w:color w:val="auto"/>
                  <w:sz w:val="22"/>
                </w:rPr>
                <w:t>www.evropskasredstva.si</w:t>
              </w:r>
            </w:hyperlink>
          </w:p>
        </w:tc>
      </w:tr>
    </w:tbl>
    <w:p w14:paraId="68683F09" w14:textId="77777777" w:rsidR="006A41E2" w:rsidRPr="00EA590A" w:rsidRDefault="00C30ACF" w:rsidP="00C30ACF">
      <w:pPr>
        <w:pStyle w:val="ManualHeading1"/>
        <w:rPr>
          <w:bCs/>
          <w:noProof/>
          <w:sz w:val="22"/>
        </w:rPr>
      </w:pPr>
      <w:r w:rsidRPr="00EA590A">
        <w:rPr>
          <w:sz w:val="22"/>
        </w:rPr>
        <w:t>5.</w:t>
      </w:r>
      <w:r w:rsidRPr="00EA590A">
        <w:rPr>
          <w:sz w:val="22"/>
        </w:rPr>
        <w:tab/>
      </w:r>
      <w:r w:rsidR="006A41E2" w:rsidRPr="00EA590A">
        <w:rPr>
          <w:noProof/>
          <w:sz w:val="22"/>
        </w:rPr>
        <w:t>Omogočitveni pogoji in horizontalna načela</w:t>
      </w:r>
    </w:p>
    <w:p w14:paraId="02472D57" w14:textId="77777777" w:rsidR="006A41E2" w:rsidRPr="00EA590A" w:rsidRDefault="00C30ACF" w:rsidP="00C30ACF">
      <w:pPr>
        <w:pStyle w:val="ManualHeading2"/>
        <w:rPr>
          <w:noProof/>
          <w:sz w:val="22"/>
        </w:rPr>
      </w:pPr>
      <w:r w:rsidRPr="00EA590A">
        <w:rPr>
          <w:sz w:val="22"/>
        </w:rPr>
        <w:t>5.1.</w:t>
      </w:r>
      <w:r w:rsidRPr="00EA590A">
        <w:rPr>
          <w:sz w:val="22"/>
        </w:rPr>
        <w:tab/>
      </w:r>
      <w:r w:rsidR="006A41E2" w:rsidRPr="00EA590A">
        <w:rPr>
          <w:noProof/>
          <w:sz w:val="22"/>
        </w:rPr>
        <w:t xml:space="preserve">Omogočitveni pogoji – člen 30(2), točka (f), Uredbe (EU) 2021/1149 </w:t>
      </w:r>
    </w:p>
    <w:p w14:paraId="7FA319C0" w14:textId="77777777" w:rsidR="006A41E2" w:rsidRPr="00EA590A" w:rsidRDefault="001B037F" w:rsidP="006A41E2">
      <w:pPr>
        <w:rPr>
          <w:noProof/>
          <w:sz w:val="22"/>
        </w:rPr>
      </w:pPr>
      <w:r w:rsidRPr="00EA590A">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Pr>
      <w:tblGrid>
        <w:gridCol w:w="9063"/>
      </w:tblGrid>
      <w:tr w:rsidR="00EA590A" w:rsidRPr="00EA590A" w14:paraId="4A37AB03" w14:textId="77777777" w:rsidTr="00E45665">
        <w:tc>
          <w:tcPr>
            <w:tcW w:w="9289" w:type="dxa"/>
          </w:tcPr>
          <w:p w14:paraId="012AA290" w14:textId="4F69293C" w:rsidR="006129DF" w:rsidRPr="00EA590A" w:rsidRDefault="006129DF" w:rsidP="006129DF">
            <w:pPr>
              <w:spacing w:before="0" w:after="160" w:line="259" w:lineRule="auto"/>
              <w:rPr>
                <w:sz w:val="22"/>
              </w:rPr>
            </w:pPr>
            <w:r w:rsidRPr="00EA590A">
              <w:rPr>
                <w:sz w:val="22"/>
              </w:rPr>
              <w:t>Ključne v obdobju poročanja so bile aktivnosti</w:t>
            </w:r>
            <w:r w:rsidR="00EA4150" w:rsidRPr="00EA590A">
              <w:rPr>
                <w:sz w:val="22"/>
              </w:rPr>
              <w:t>,</w:t>
            </w:r>
            <w:r w:rsidRPr="00EA590A">
              <w:rPr>
                <w:sz w:val="22"/>
              </w:rPr>
              <w:t xml:space="preserve"> usmerjene v preverjanje implementacije omogočitvenih pogojev na ravni posameznih operacij. S tem namenom smo  preverjanje skladnosti z Listino EU o temeljnih pravicah ter Konvencijo o pravicah invalidov, vključili v vsakokratno kontrolo prijave operacij in kontrolo zahtevkov za povračilo oz. izplačilo. Na podlagi pregledov nismo zaznali, da bi bile aktivnosti kontroliranih operacij neskladne z Listino in/ali Konvencijo.</w:t>
            </w:r>
          </w:p>
          <w:p w14:paraId="5BAB180C" w14:textId="5E3B7B08" w:rsidR="006129DF" w:rsidRPr="00EA590A" w:rsidRDefault="006129DF" w:rsidP="006129DF">
            <w:pPr>
              <w:spacing w:before="0" w:after="160" w:line="259" w:lineRule="auto"/>
              <w:rPr>
                <w:sz w:val="22"/>
              </w:rPr>
            </w:pPr>
            <w:r w:rsidRPr="00EA590A">
              <w:rPr>
                <w:sz w:val="22"/>
              </w:rPr>
              <w:t>Nadaljujemo z delovanjem v posvetovalnem telesu ministrstva za integracijo načela enakosti spolov. To nam omogoča, da na področju enakosti spolov aktivno sodelujemo pri oblikovanju politik in izvajanju aktivnosti znotraj ministrstva kot tudi da imamo dostop do dodatnih izobraževalnih vsebin.</w:t>
            </w:r>
          </w:p>
          <w:p w14:paraId="4DC664DE" w14:textId="32320D2E" w:rsidR="006129DF" w:rsidRPr="00EA590A" w:rsidRDefault="006129DF" w:rsidP="006129DF">
            <w:pPr>
              <w:spacing w:before="0" w:after="160" w:line="259" w:lineRule="auto"/>
              <w:rPr>
                <w:sz w:val="22"/>
              </w:rPr>
            </w:pPr>
            <w:r w:rsidRPr="00EA590A">
              <w:rPr>
                <w:sz w:val="22"/>
              </w:rPr>
              <w:t>Za odbor za spremljanje smo pripravili letno poročilo in člane odbora seznanili z izvedenimi aktivnostmi.</w:t>
            </w:r>
          </w:p>
          <w:p w14:paraId="4F187C27" w14:textId="6B67DBEF" w:rsidR="006129DF" w:rsidRPr="00EA590A" w:rsidRDefault="006129DF" w:rsidP="006129DF">
            <w:pPr>
              <w:spacing w:before="0" w:after="160" w:line="259" w:lineRule="auto"/>
              <w:rPr>
                <w:sz w:val="22"/>
              </w:rPr>
            </w:pPr>
            <w:r w:rsidRPr="00EA590A">
              <w:rPr>
                <w:sz w:val="22"/>
              </w:rPr>
              <w:t>Pri Varuhu človekovih pravic in Zagovorniku načela enakosti smo preverili ali sta v času od septembra 2024 do septembra 2025 prejela pobude, ki bi bile vsebinsko vezane na izvajanje programa SNV, programa AMIF in programa IUMV. Tovrstnih pobud nista prejela.</w:t>
            </w:r>
          </w:p>
          <w:p w14:paraId="3E43CDB7" w14:textId="1C9D313F" w:rsidR="005C2072" w:rsidRPr="00EA590A" w:rsidRDefault="006129DF" w:rsidP="006129DF">
            <w:pPr>
              <w:spacing w:before="0" w:after="160" w:line="259" w:lineRule="auto"/>
              <w:rPr>
                <w:sz w:val="22"/>
              </w:rPr>
            </w:pPr>
            <w:r w:rsidRPr="00EA590A">
              <w:rPr>
                <w:sz w:val="22"/>
              </w:rPr>
              <w:t>V obračunskem obdobju nismo prejeli prijav ali vprašanj s strani upravičencev prav tako prijav ali vprašanj nismo prejeli preko prijavnega obrazca na spletnem mestu https://evropskasredstva.si/prijava-krsitev-3/ .</w:t>
            </w:r>
          </w:p>
        </w:tc>
      </w:tr>
    </w:tbl>
    <w:p w14:paraId="54A88182" w14:textId="77777777" w:rsidR="006A41E2" w:rsidRPr="00EA590A" w:rsidRDefault="00C30ACF" w:rsidP="00C30ACF">
      <w:pPr>
        <w:pStyle w:val="ManualHeading2"/>
        <w:rPr>
          <w:noProof/>
          <w:sz w:val="22"/>
        </w:rPr>
      </w:pPr>
      <w:r w:rsidRPr="00EA590A">
        <w:rPr>
          <w:sz w:val="22"/>
        </w:rPr>
        <w:t>5.2.</w:t>
      </w:r>
      <w:r w:rsidRPr="00EA590A">
        <w:rPr>
          <w:sz w:val="22"/>
        </w:rPr>
        <w:tab/>
      </w:r>
      <w:r w:rsidR="0001528B" w:rsidRPr="00EA590A">
        <w:rPr>
          <w:noProof/>
          <w:sz w:val="22"/>
        </w:rPr>
        <w:t>Skladnost s horizontalnimi načeli – člen 9 Uredbe (EU) 2021/1060</w:t>
      </w:r>
    </w:p>
    <w:p w14:paraId="5F7D35E3" w14:textId="77777777" w:rsidR="006A41E2" w:rsidRPr="00EA590A" w:rsidRDefault="001B037F" w:rsidP="006A41E2">
      <w:pPr>
        <w:rPr>
          <w:noProof/>
          <w:sz w:val="22"/>
        </w:rPr>
      </w:pPr>
      <w:r w:rsidRPr="00EA590A">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EA590A" w:rsidRPr="00EA590A" w14:paraId="6F7060CD" w14:textId="77777777" w:rsidTr="00E45665">
        <w:tc>
          <w:tcPr>
            <w:tcW w:w="9289" w:type="dxa"/>
          </w:tcPr>
          <w:p w14:paraId="502519B5" w14:textId="77777777" w:rsidR="006129DF" w:rsidRPr="00EA590A" w:rsidRDefault="006129DF" w:rsidP="006129DF">
            <w:pPr>
              <w:spacing w:before="0" w:after="160" w:line="259" w:lineRule="auto"/>
              <w:rPr>
                <w:sz w:val="22"/>
              </w:rPr>
            </w:pPr>
            <w:r w:rsidRPr="00EA590A">
              <w:rPr>
                <w:sz w:val="22"/>
              </w:rPr>
              <w:t>Z namenom zagotavljanja skladnosti z horizontalnim načelom tekom celotnega cikla operacije izvajamo sledeče aktivnosti:</w:t>
            </w:r>
          </w:p>
          <w:p w14:paraId="3A581569" w14:textId="37032E6A" w:rsidR="006129DF" w:rsidRPr="00EA590A" w:rsidRDefault="006129DF" w:rsidP="00610233">
            <w:pPr>
              <w:pStyle w:val="Odstavekseznama"/>
              <w:numPr>
                <w:ilvl w:val="0"/>
                <w:numId w:val="41"/>
              </w:numPr>
              <w:spacing w:before="0" w:after="160" w:line="259" w:lineRule="auto"/>
              <w:rPr>
                <w:sz w:val="22"/>
              </w:rPr>
            </w:pPr>
            <w:r w:rsidRPr="00EA590A">
              <w:rPr>
                <w:sz w:val="22"/>
              </w:rPr>
              <w:t>Skladno z nacionalnimi pravili o upravičenosti za črpanje sredstev morajo upravičenci pred začetkom izvajanja posega, ki lahko pomembno vpliva na okolje, izvesti presojo vplivov na okolje in pridobiti okoljevarstveno soglasje. Za določene vrste posegov v okolje je namreč zaradi njihove velikosti, obsega, lokacije ali drugih značilnosti, ki lahko vplivajo na okolje, presoja vplivov na okolje obvezna. V teh primerih se že v predhodnem postopku ugotavlja, ali je za nameravani poseg potrebno izvesti presojo vplivov na okolje in pridobiti okoljevarstveno soglasje.</w:t>
            </w:r>
          </w:p>
          <w:p w14:paraId="603A431F" w14:textId="6C821040" w:rsidR="006129DF" w:rsidRPr="00EA590A" w:rsidRDefault="006129DF" w:rsidP="00610233">
            <w:pPr>
              <w:pStyle w:val="Odstavekseznama"/>
              <w:numPr>
                <w:ilvl w:val="0"/>
                <w:numId w:val="41"/>
              </w:numPr>
              <w:spacing w:before="0" w:after="160" w:line="259" w:lineRule="auto"/>
              <w:rPr>
                <w:sz w:val="22"/>
              </w:rPr>
            </w:pPr>
            <w:r w:rsidRPr="00EA590A">
              <w:rPr>
                <w:sz w:val="22"/>
              </w:rPr>
              <w:t>Administrativna kontrola zahtevkov za povračilo oz. izplačilo sredstev zajema tudi preverko ali izvedene aktivnosti upoštevajo pravila glede enakih možnosti, nediskriminacije in dostopnosti za invalidne osebe in tudi ali je upravičenec pri izvedbi operacije pridobil vsa potrebna dovoljenja/mnenja/soglasja s področju varovanja okolja, ki so bila v fazi potrjevanja operacije zahtevana s strani pristojnih organizacij ali so zahtevana glede na postopke, ki jih je izvedel.</w:t>
            </w:r>
          </w:p>
          <w:p w14:paraId="0747FAE2" w14:textId="6953EF69" w:rsidR="007D1ECB" w:rsidRPr="00EA590A" w:rsidRDefault="006129DF" w:rsidP="00610233">
            <w:pPr>
              <w:pStyle w:val="Odstavekseznama"/>
              <w:numPr>
                <w:ilvl w:val="0"/>
                <w:numId w:val="41"/>
              </w:numPr>
              <w:spacing w:before="0" w:after="160" w:line="259" w:lineRule="auto"/>
              <w:rPr>
                <w:sz w:val="22"/>
              </w:rPr>
            </w:pPr>
            <w:r w:rsidRPr="00EA590A">
              <w:rPr>
                <w:sz w:val="22"/>
              </w:rPr>
              <w:t>Nadaljujemo z delovanjem v posvetovalnem telesu ministrstva za integracijo načela enakosti spolov. To nam omogoča, da na področju enakosti spolov aktivno sodelujemo pri oblikovanju politik in izvajanju aktivnosti znotraj ministrstva in da imamo dostop do dodatnih izobraževalnih vsebin.</w:t>
            </w:r>
          </w:p>
        </w:tc>
      </w:tr>
    </w:tbl>
    <w:p w14:paraId="453E9B39" w14:textId="77777777" w:rsidR="006A41E2" w:rsidRPr="00EA590A" w:rsidRDefault="00C30ACF" w:rsidP="00C30ACF">
      <w:pPr>
        <w:pStyle w:val="ManualHeading1"/>
        <w:rPr>
          <w:noProof/>
          <w:sz w:val="22"/>
        </w:rPr>
      </w:pPr>
      <w:r w:rsidRPr="00EA590A">
        <w:rPr>
          <w:sz w:val="22"/>
        </w:rPr>
        <w:t>6.</w:t>
      </w:r>
      <w:r w:rsidRPr="00EA590A">
        <w:rPr>
          <w:sz w:val="22"/>
        </w:rPr>
        <w:tab/>
      </w:r>
      <w:r w:rsidR="006A41E2" w:rsidRPr="00EA590A">
        <w:rPr>
          <w:noProof/>
          <w:sz w:val="22"/>
        </w:rPr>
        <w:t>Projekti v tretjih državah ali v zvezi z njimi – člen 30(2), točka (g), Uredbe (EU) 2021/1149</w:t>
      </w:r>
    </w:p>
    <w:p w14:paraId="0DD5B233" w14:textId="77777777" w:rsidR="006A41E2" w:rsidRPr="00EA590A" w:rsidRDefault="001B037F" w:rsidP="006A41E2">
      <w:pPr>
        <w:rPr>
          <w:noProof/>
          <w:sz w:val="22"/>
        </w:rPr>
      </w:pPr>
      <w:r w:rsidRPr="00EA590A">
        <w:rPr>
          <w:noProof/>
          <w:sz w:val="22"/>
        </w:rPr>
        <w:t xml:space="preserve">Opišite vse ukrepe, ki se med obračunskim letom izvajajo v tretjih državah ali v zvezi z njimi, in kako ti ukrepi ustvarjajo dodano vrednost Unije pri doseganju ciljev, ki jih je določil Sklad. Navedite imena zadevnih tretjih držav. Če je ustrezno, navedite posvetovanja s Komisijo, ki so potekala pred odobritvijo projekta (člen 13(11) Uredbe (EU) 2021/1149). </w:t>
      </w:r>
    </w:p>
    <w:tbl>
      <w:tblPr>
        <w:tblStyle w:val="Tabelamrea"/>
        <w:tblW w:w="0" w:type="auto"/>
        <w:tblLook w:val="04A0" w:firstRow="1" w:lastRow="0" w:firstColumn="1" w:lastColumn="0" w:noHBand="0" w:noVBand="1"/>
      </w:tblPr>
      <w:tblGrid>
        <w:gridCol w:w="9063"/>
      </w:tblGrid>
      <w:tr w:rsidR="00EA590A" w:rsidRPr="00EA590A" w14:paraId="68AD6FC3" w14:textId="77777777" w:rsidTr="00E45665">
        <w:tc>
          <w:tcPr>
            <w:tcW w:w="9289" w:type="dxa"/>
          </w:tcPr>
          <w:p w14:paraId="6AF2E690" w14:textId="1C538E41" w:rsidR="00C10858" w:rsidRPr="00EA590A" w:rsidRDefault="00F64323" w:rsidP="00F91919">
            <w:pPr>
              <w:pStyle w:val="Personnequisigne"/>
              <w:jc w:val="both"/>
              <w:rPr>
                <w:i w:val="0"/>
                <w:noProof/>
                <w:sz w:val="22"/>
              </w:rPr>
            </w:pPr>
            <w:r w:rsidRPr="00EA590A">
              <w:rPr>
                <w:i w:val="0"/>
                <w:noProof/>
                <w:sz w:val="22"/>
              </w:rPr>
              <w:t xml:space="preserve">Slovenija </w:t>
            </w:r>
            <w:r w:rsidR="003C2BA4" w:rsidRPr="00EA590A">
              <w:rPr>
                <w:i w:val="0"/>
                <w:noProof/>
                <w:sz w:val="22"/>
              </w:rPr>
              <w:t>je v</w:t>
            </w:r>
            <w:r w:rsidRPr="00EA590A">
              <w:rPr>
                <w:i w:val="0"/>
                <w:noProof/>
                <w:sz w:val="22"/>
              </w:rPr>
              <w:t xml:space="preserve"> obračunskem obdobju </w:t>
            </w:r>
            <w:r w:rsidR="003C2BA4" w:rsidRPr="00EA590A">
              <w:rPr>
                <w:i w:val="0"/>
                <w:noProof/>
                <w:sz w:val="22"/>
              </w:rPr>
              <w:t xml:space="preserve">poročanja </w:t>
            </w:r>
            <w:r w:rsidRPr="00EA590A">
              <w:rPr>
                <w:i w:val="0"/>
                <w:noProof/>
                <w:sz w:val="22"/>
              </w:rPr>
              <w:t xml:space="preserve">izvajala </w:t>
            </w:r>
            <w:r w:rsidR="003C2BA4" w:rsidRPr="00EA590A">
              <w:rPr>
                <w:i w:val="0"/>
                <w:noProof/>
                <w:sz w:val="22"/>
              </w:rPr>
              <w:t xml:space="preserve">aktivnosti </w:t>
            </w:r>
            <w:r w:rsidRPr="00EA590A">
              <w:rPr>
                <w:i w:val="0"/>
                <w:noProof/>
                <w:sz w:val="22"/>
              </w:rPr>
              <w:t>operacij v tretjih državah ali v zvezi z njimi.</w:t>
            </w:r>
          </w:p>
          <w:p w14:paraId="606BDAF2" w14:textId="77777777" w:rsidR="00F91919" w:rsidRPr="00EA590A" w:rsidRDefault="00F91919" w:rsidP="00F91919">
            <w:pPr>
              <w:rPr>
                <w:sz w:val="22"/>
              </w:rPr>
            </w:pPr>
            <w:r w:rsidRPr="00EA590A">
              <w:rPr>
                <w:sz w:val="22"/>
              </w:rPr>
              <w:t>Analize in varnostne ocene Europola ter drugih evropskih varnostnih institucij še naprej opredeljujejo območje Zahodnega Balkana kot eno ključnih kriminalnih žarišč v Evropi. Gre za območje, kjer se koncentrira logistika za trgovino z nezakonitim blagom, razvijajo novi trgi kriminalnih dejavnosti ter vzpostavljajo pogoji za delovanje visoko tveganih kriminalnih mrež.</w:t>
            </w:r>
          </w:p>
          <w:p w14:paraId="24BB5FA4" w14:textId="6D1B300A" w:rsidR="00F91919" w:rsidRPr="00EA590A" w:rsidRDefault="00F91919" w:rsidP="00F91919">
            <w:pPr>
              <w:rPr>
                <w:sz w:val="22"/>
              </w:rPr>
            </w:pPr>
            <w:r w:rsidRPr="00EA590A">
              <w:rPr>
                <w:sz w:val="22"/>
              </w:rPr>
              <w:t xml:space="preserve">V tem kontekstu ima ozemlje Republike Slovenije pomembno vlogo kot tranzitno območje za vstop nezakonitega blaga na notranji trg </w:t>
            </w:r>
            <w:r w:rsidR="00A2095C" w:rsidRPr="00EA590A">
              <w:rPr>
                <w:sz w:val="22"/>
              </w:rPr>
              <w:t>EU</w:t>
            </w:r>
            <w:r w:rsidRPr="00EA590A">
              <w:rPr>
                <w:sz w:val="22"/>
              </w:rPr>
              <w:t>.</w:t>
            </w:r>
          </w:p>
          <w:p w14:paraId="0879CCC1" w14:textId="43B0AB68" w:rsidR="001507E7" w:rsidRPr="00EA590A" w:rsidRDefault="00F91919" w:rsidP="00F91919">
            <w:pPr>
              <w:rPr>
                <w:sz w:val="22"/>
              </w:rPr>
            </w:pPr>
            <w:r w:rsidRPr="00EA590A">
              <w:rPr>
                <w:sz w:val="22"/>
              </w:rPr>
              <w:t>Zaradi navedenega je slovenska policija v okviru SNV posebno pozornost namenila financiranju prikritih preiskovalnih ukrepov, kot so tajno delovanje, tajno opazovanje in navidezni odkupi, ter nabavi vozil za njihovo izvajanje. Hkrati je okrepila operativno sodelovanje z državami Zahodnega Balkana prek operativnih in delovnih srečanj v Severni Makedoniji, Bosni in Hercegovini, Črni gori in Srbiji.</w:t>
            </w:r>
          </w:p>
          <w:p w14:paraId="5355F90C" w14:textId="77777777" w:rsidR="00C10858" w:rsidRPr="00EA590A" w:rsidRDefault="00F91919" w:rsidP="00F91919">
            <w:pPr>
              <w:rPr>
                <w:sz w:val="22"/>
              </w:rPr>
            </w:pPr>
            <w:r w:rsidRPr="00EA590A">
              <w:rPr>
                <w:sz w:val="22"/>
              </w:rPr>
              <w:t xml:space="preserve">Ti ukrepi so prispevali k učinkovitejšemu spopadanju z organizirano čezmejno kriminaliteto, ki izvira iz Zahodnega Balkana in ogroža varnost državljanov Slovenije ter </w:t>
            </w:r>
            <w:r w:rsidR="00A2095C" w:rsidRPr="00EA590A">
              <w:rPr>
                <w:sz w:val="22"/>
              </w:rPr>
              <w:t>EU</w:t>
            </w:r>
            <w:r w:rsidRPr="00EA590A">
              <w:rPr>
                <w:sz w:val="22"/>
              </w:rPr>
              <w:t>.</w:t>
            </w:r>
          </w:p>
          <w:p w14:paraId="53607258" w14:textId="77777777" w:rsidR="001507E7" w:rsidRPr="00EA590A" w:rsidRDefault="001507E7" w:rsidP="001507E7">
            <w:pPr>
              <w:rPr>
                <w:sz w:val="22"/>
              </w:rPr>
            </w:pPr>
            <w:r w:rsidRPr="00EA590A">
              <w:rPr>
                <w:sz w:val="22"/>
              </w:rPr>
              <w:t>Izvedena je bila optimizacija HPLC-Q-TOF instrumenta (kromatografija in masna spektrometrija) ter izvedena ciljno usmerjena usposabljanja za zaposlene, kriminaliste, tožilce in sodnike. V okviru krepitve strokovnih zmogljivosti in prenosa dobrih praks so se predstavniki Nacionalnega forenzičnega laboratorija (Policija) udeležili mednarodnega strokovnega dogodka v Liverpool, Združeno kraljestvo, kar prispeva k razvoju novih metod dela in sodelovanju s strokovnjaki iz tretjih držav.</w:t>
            </w:r>
          </w:p>
          <w:p w14:paraId="5A2215DC" w14:textId="78DA0534" w:rsidR="001507E7" w:rsidRPr="00EA590A" w:rsidRDefault="001507E7" w:rsidP="00F91919">
            <w:pPr>
              <w:rPr>
                <w:sz w:val="22"/>
              </w:rPr>
            </w:pPr>
            <w:r w:rsidRPr="00EA590A">
              <w:rPr>
                <w:sz w:val="22"/>
              </w:rPr>
              <w:t xml:space="preserve">V okviru ukrepov, usmerjenih v oblikovanje sinergij, so bila izvedena usposabljanja na področju preprečevanja radikalizacije ter nadaljevan kriminalistični tečaj za nove kadre, skupaj z dodatnimi specializiranimi usposabljanji (prepovedane droge, tihotapstvo, varna vožnja, ciljno iskanje). Policisti so se udeležili tudi mednarodnih usposabljanj, med drugim v </w:t>
            </w:r>
            <w:proofErr w:type="spellStart"/>
            <w:r w:rsidRPr="00EA590A">
              <w:rPr>
                <w:sz w:val="22"/>
              </w:rPr>
              <w:t>Quantico</w:t>
            </w:r>
            <w:proofErr w:type="spellEnd"/>
            <w:r w:rsidRPr="00EA590A">
              <w:rPr>
                <w:sz w:val="22"/>
              </w:rPr>
              <w:t>, Združene države Amerike, kar predstavlja krepitev sodelovanja s tretjimi državami ter prenos naprednih znanj in praks na področju pregona kriminalitete.</w:t>
            </w:r>
          </w:p>
        </w:tc>
      </w:tr>
    </w:tbl>
    <w:p w14:paraId="60A579AF" w14:textId="77777777" w:rsidR="006A41E2" w:rsidRPr="00EA590A" w:rsidRDefault="00C30ACF" w:rsidP="00C30ACF">
      <w:pPr>
        <w:pStyle w:val="ManualHeading1"/>
        <w:rPr>
          <w:noProof/>
          <w:sz w:val="22"/>
        </w:rPr>
      </w:pPr>
      <w:r w:rsidRPr="00EA590A">
        <w:rPr>
          <w:sz w:val="22"/>
        </w:rPr>
        <w:t>7.</w:t>
      </w:r>
      <w:r w:rsidRPr="00EA590A">
        <w:rPr>
          <w:sz w:val="22"/>
        </w:rPr>
        <w:tab/>
      </w:r>
      <w:r w:rsidR="006A41E2" w:rsidRPr="00EA590A">
        <w:rPr>
          <w:noProof/>
          <w:sz w:val="22"/>
        </w:rPr>
        <w:t>Povzetek – člen 30(2) Uredbe (EU) 2021/1149</w:t>
      </w:r>
    </w:p>
    <w:p w14:paraId="473A135A" w14:textId="77777777" w:rsidR="006A41E2" w:rsidRPr="00EA590A" w:rsidRDefault="00093D5B" w:rsidP="006A41E2">
      <w:pPr>
        <w:rPr>
          <w:noProof/>
          <w:sz w:val="22"/>
        </w:rPr>
      </w:pPr>
      <w:r w:rsidRPr="00EA590A">
        <w:rPr>
          <w:noProof/>
          <w:sz w:val="22"/>
        </w:rPr>
        <w:t xml:space="preserve">Predložite povzetek oddelkov 1 do 6, ki bo preveden in javno dostopen. </w:t>
      </w:r>
    </w:p>
    <w:p w14:paraId="1A05494D" w14:textId="77777777" w:rsidR="006A41E2" w:rsidRPr="00EA590A" w:rsidRDefault="006A41E2" w:rsidP="006A41E2">
      <w:pPr>
        <w:rPr>
          <w:noProof/>
          <w:sz w:val="22"/>
        </w:rPr>
      </w:pPr>
      <w:r w:rsidRPr="00EA590A">
        <w:rPr>
          <w:noProof/>
          <w:sz w:val="22"/>
        </w:rPr>
        <w:t xml:space="preserve">Povzetek mora zajemati vsaj vse točke iz člena 30(2) in bi moral biti po možnosti strukturiran po teh točkah. </w:t>
      </w:r>
    </w:p>
    <w:p w14:paraId="57D9CE23" w14:textId="77777777" w:rsidR="006A41E2" w:rsidRPr="00EA590A" w:rsidRDefault="006A41E2" w:rsidP="008A19C4">
      <w:pPr>
        <w:rPr>
          <w:noProof/>
          <w:sz w:val="22"/>
        </w:rPr>
      </w:pPr>
      <w:r w:rsidRPr="00EA590A">
        <w:rPr>
          <w:noProof/>
          <w:sz w:val="22"/>
        </w:rPr>
        <w:t xml:space="preserve">Spodbuja se uporaba alinej, krepkega besedila ali informativnih razdelkov, da lahko zainteresirani deležniki zlahka prepoznajo glavne dosežke programa in glavna vprašanja, ki vplivajo na njegovo smotrnost. </w:t>
      </w:r>
    </w:p>
    <w:tbl>
      <w:tblPr>
        <w:tblStyle w:val="Tabelamrea"/>
        <w:tblW w:w="0" w:type="auto"/>
        <w:tblLook w:val="04A0" w:firstRow="1" w:lastRow="0" w:firstColumn="1" w:lastColumn="0" w:noHBand="0" w:noVBand="1"/>
      </w:tblPr>
      <w:tblGrid>
        <w:gridCol w:w="9063"/>
      </w:tblGrid>
      <w:tr w:rsidR="009002E8" w:rsidRPr="00EA590A" w14:paraId="3196ED77" w14:textId="77777777" w:rsidTr="009002E8">
        <w:trPr>
          <w:trHeight w:val="2825"/>
        </w:trPr>
        <w:tc>
          <w:tcPr>
            <w:tcW w:w="9289" w:type="dxa"/>
          </w:tcPr>
          <w:p w14:paraId="5F70EE93" w14:textId="51EC091A" w:rsidR="00B10DAD" w:rsidRPr="00EA590A" w:rsidRDefault="00B10DAD" w:rsidP="00B10DAD">
            <w:pPr>
              <w:pStyle w:val="Navadensplet"/>
              <w:jc w:val="both"/>
              <w:rPr>
                <w:sz w:val="22"/>
                <w:szCs w:val="22"/>
              </w:rPr>
            </w:pPr>
            <w:r w:rsidRPr="00EA590A">
              <w:rPr>
                <w:b/>
                <w:sz w:val="22"/>
                <w:szCs w:val="22"/>
              </w:rPr>
              <w:t>1. Smotrnost</w:t>
            </w:r>
            <w:r w:rsidRPr="00EA590A">
              <w:rPr>
                <w:sz w:val="22"/>
                <w:szCs w:val="22"/>
              </w:rPr>
              <w:t xml:space="preserve">:  V obdobju od 1. julija 2024 do 30. junija 2025 je Slovenija izvajala večino načrtovanih aktivnosti iz programa Sklada za notranjo varnost. </w:t>
            </w:r>
            <w:r w:rsidR="0085594D" w:rsidRPr="00EA590A">
              <w:rPr>
                <w:sz w:val="22"/>
                <w:szCs w:val="22"/>
              </w:rPr>
              <w:t xml:space="preserve">Posodobljen </w:t>
            </w:r>
            <w:r w:rsidRPr="00EA590A">
              <w:rPr>
                <w:sz w:val="22"/>
                <w:szCs w:val="22"/>
              </w:rPr>
              <w:t>je bil informacijski sistem MIGRA III</w:t>
            </w:r>
            <w:r w:rsidR="0085594D" w:rsidRPr="00EA590A">
              <w:rPr>
                <w:sz w:val="22"/>
                <w:szCs w:val="22"/>
              </w:rPr>
              <w:t xml:space="preserve"> za</w:t>
            </w:r>
            <w:r w:rsidRPr="00EA590A">
              <w:rPr>
                <w:sz w:val="22"/>
                <w:szCs w:val="22"/>
              </w:rPr>
              <w:t xml:space="preserve"> prijavo projektov in poročanje o njihovem izvajanju</w:t>
            </w:r>
            <w:r w:rsidR="0085594D" w:rsidRPr="00EA590A">
              <w:rPr>
                <w:sz w:val="22"/>
                <w:szCs w:val="22"/>
              </w:rPr>
              <w:t xml:space="preserve"> kot tudi </w:t>
            </w:r>
            <w:r w:rsidRPr="00EA590A">
              <w:rPr>
                <w:sz w:val="22"/>
                <w:szCs w:val="22"/>
              </w:rPr>
              <w:t>program</w:t>
            </w:r>
            <w:r w:rsidR="0085594D" w:rsidRPr="00EA590A">
              <w:rPr>
                <w:sz w:val="22"/>
                <w:szCs w:val="22"/>
              </w:rPr>
              <w:t xml:space="preserve">, </w:t>
            </w:r>
            <w:r w:rsidRPr="00EA590A">
              <w:rPr>
                <w:sz w:val="22"/>
                <w:szCs w:val="22"/>
              </w:rPr>
              <w:t xml:space="preserve">zaradi dodatnih </w:t>
            </w:r>
            <w:r w:rsidR="0085594D" w:rsidRPr="00EA590A">
              <w:rPr>
                <w:sz w:val="22"/>
                <w:szCs w:val="22"/>
              </w:rPr>
              <w:t xml:space="preserve">dodeljenih </w:t>
            </w:r>
            <w:r w:rsidRPr="00EA590A">
              <w:rPr>
                <w:sz w:val="22"/>
                <w:szCs w:val="22"/>
              </w:rPr>
              <w:t>sredstev. Od 40 načrtovanih operacij jih je bilo 34 v izvajanju, ena zaključena, uspešno pa je bil izveden tudi javni razpis za zaščito žrtev trgovine z ljudmi. S tem Slovenija zagotavlja pregledno, učinkovito in z evropskimi pravili skladno uporabo sredstev EU.</w:t>
            </w:r>
          </w:p>
          <w:p w14:paraId="0A7D5825" w14:textId="62D4D285" w:rsidR="00B10DAD" w:rsidRPr="00EA590A" w:rsidRDefault="00B10DAD" w:rsidP="00B10DAD">
            <w:pPr>
              <w:pStyle w:val="Navadensplet"/>
              <w:jc w:val="both"/>
              <w:rPr>
                <w:sz w:val="22"/>
                <w:szCs w:val="22"/>
              </w:rPr>
            </w:pPr>
            <w:r w:rsidRPr="00EA590A">
              <w:rPr>
                <w:b/>
                <w:bCs/>
                <w:sz w:val="22"/>
                <w:szCs w:val="22"/>
              </w:rPr>
              <w:t xml:space="preserve">Izboljšana izmenjava informacij na ravni EU: </w:t>
            </w:r>
            <w:r w:rsidRPr="00EA590A">
              <w:rPr>
                <w:sz w:val="22"/>
                <w:szCs w:val="22"/>
              </w:rPr>
              <w:t xml:space="preserve">Slovenija je nadgradila ključne policijske informacijske sisteme in jih uskladila z EU zahtevami glede povezljivosti in izmenjave podatkov. Aplikacija za obdelavo podatkov o letalskih potnikih je bila prenesena na sodobno centralno policijsko informacijsko platformo, hkrati pa je Slovenija sodelovala pri izvajanju evropske uredbe o predhodnih podatkih o potnikih. Posodobljena je bila oprema za analizo DNK, kar omogoča učinkovitejšo izmenjavo genetskih podatkov med državami članicami na podlagi evropskega pravnega okvira za čezmejno policijsko sodelovanje. </w:t>
            </w:r>
            <w:r w:rsidR="00D96B1B" w:rsidRPr="00EA590A">
              <w:rPr>
                <w:sz w:val="22"/>
                <w:szCs w:val="22"/>
              </w:rPr>
              <w:t xml:space="preserve">Izvedla se je optimizacija opreme za kromatografijo in spektrometrijo ter z usposabljanji podpiral razvoj novih metod. </w:t>
            </w:r>
            <w:r w:rsidRPr="00EA590A">
              <w:rPr>
                <w:sz w:val="22"/>
                <w:szCs w:val="22"/>
              </w:rPr>
              <w:t>Okrepljene so bile tudi zmogljivosti za boj proti spolnemu izkoriščanju otrok, v povezavi z mednarodnimi bazami podatkov. Nadgradnja varne komunikacijske infrastrukture policije omogoča zanesljivo povezovanje z informacijskimi sistemi EU ter prispeva k varnejšemu skupnemu evropskemu prostoru.</w:t>
            </w:r>
          </w:p>
          <w:p w14:paraId="05AB35A6" w14:textId="77777777" w:rsidR="00B10DAD" w:rsidRPr="00EA590A" w:rsidRDefault="00B10DAD" w:rsidP="00B10DAD">
            <w:pPr>
              <w:pStyle w:val="Navadensplet"/>
              <w:jc w:val="both"/>
              <w:rPr>
                <w:sz w:val="22"/>
                <w:szCs w:val="22"/>
              </w:rPr>
            </w:pPr>
            <w:r w:rsidRPr="00EA590A">
              <w:rPr>
                <w:b/>
                <w:bCs/>
                <w:sz w:val="22"/>
                <w:szCs w:val="22"/>
              </w:rPr>
              <w:t xml:space="preserve">Krepitev čezmejnega operativnega sodelovanja: </w:t>
            </w:r>
            <w:r w:rsidRPr="00EA590A">
              <w:rPr>
                <w:sz w:val="22"/>
                <w:szCs w:val="22"/>
              </w:rPr>
              <w:t>S financiranjem prikritih preiskovalnih ukrepov, tajnega opazovanja in specializirane opreme Slovenija prispeva k razbijanju organiziranih kriminalnih združb, ki delujejo prek meja držav članic. Okrepljeno je bilo sodelovanje z državami Zahodnega Balkana ter aktivno sodelovanje v evropski mreži forenzičnih znanstvenih inštitutov, kar prispeva k poenotenju strokovnih standardov in boljšemu medsebojnemu priznavanju forenzičnih rezultatov. Nadgrajene zmogljivosti za odziv na kemične, biološke, radiološke in jedrske grožnje povečujejo pripravljenost na varnostne incidente z morebitnimi čezmejnimi posledicami.</w:t>
            </w:r>
          </w:p>
          <w:p w14:paraId="1435C93F" w14:textId="77777777" w:rsidR="00B10DAD" w:rsidRPr="00EA590A" w:rsidRDefault="00B10DAD" w:rsidP="00B10DAD">
            <w:pPr>
              <w:pStyle w:val="Navadensplet"/>
              <w:jc w:val="both"/>
              <w:rPr>
                <w:sz w:val="22"/>
                <w:szCs w:val="22"/>
              </w:rPr>
            </w:pPr>
            <w:r w:rsidRPr="00EA590A">
              <w:rPr>
                <w:b/>
                <w:bCs/>
                <w:sz w:val="22"/>
                <w:szCs w:val="22"/>
              </w:rPr>
              <w:t xml:space="preserve">Krepitev zmogljivosti za boj proti kriminalu: </w:t>
            </w:r>
            <w:r w:rsidRPr="00EA590A">
              <w:rPr>
                <w:sz w:val="22"/>
                <w:szCs w:val="22"/>
              </w:rPr>
              <w:t xml:space="preserve">Slovenija je vlagala v usposabljanje policistov in kriminalistov ter v nadgradnjo učnih in vadbenih kapacitet Policijske akademije. Okrepljene so bile zmogljivosti za preiskovanje gospodarske, </w:t>
            </w:r>
            <w:proofErr w:type="spellStart"/>
            <w:r w:rsidRPr="00EA590A">
              <w:rPr>
                <w:sz w:val="22"/>
                <w:szCs w:val="22"/>
              </w:rPr>
              <w:t>okoljske</w:t>
            </w:r>
            <w:proofErr w:type="spellEnd"/>
            <w:r w:rsidRPr="00EA590A">
              <w:rPr>
                <w:sz w:val="22"/>
                <w:szCs w:val="22"/>
              </w:rPr>
              <w:t xml:space="preserve"> in kibernetske kriminalitete. Nadgrajena so analitična orodja, vzpostavljena varna infrastruktura za obravnavo elektronskih dokazov ter izboljšane zmogljivosti za obdelavo in analizo velikih količin podatkov, vključno z uporabo umetne inteligence. To omogoča hitrejšo in kakovostnejšo izmenjavo informacij za kazenski pregon in pravosodno sodelovanje na EU ravni. </w:t>
            </w:r>
          </w:p>
          <w:p w14:paraId="6E76223E" w14:textId="77777777" w:rsidR="00B10DAD" w:rsidRPr="00EA590A" w:rsidRDefault="00B10DAD" w:rsidP="00B10DAD">
            <w:pPr>
              <w:pStyle w:val="Navadensplet"/>
              <w:jc w:val="both"/>
              <w:rPr>
                <w:b/>
                <w:bCs/>
                <w:sz w:val="22"/>
                <w:szCs w:val="22"/>
              </w:rPr>
            </w:pPr>
            <w:r w:rsidRPr="00EA590A">
              <w:rPr>
                <w:b/>
                <w:bCs/>
                <w:sz w:val="22"/>
                <w:szCs w:val="22"/>
              </w:rPr>
              <w:t xml:space="preserve">Zaščita žrtev, preprečevanje radikalizacije in odpornost EU: </w:t>
            </w:r>
            <w:r w:rsidRPr="00EA590A">
              <w:rPr>
                <w:sz w:val="22"/>
                <w:szCs w:val="22"/>
              </w:rPr>
              <w:t>Slovenija je zagotavljala celostno podporo žrtvam trgovine z ljudmi in prispevala k uresničevanju skupnih EU standardov zaščite žrtev in socialne vključenosti. Izvedena so bila tudi usposabljanja za prepoznavanje in preprečevanje radikalizacije ter dodatna strokovna izobraževanja doma in v tujini. Na področju zaščite kritične infrastrukture so bile nadgrajene analitične in geografske informacijske zmogljivosti ter pripravljeni programi usposabljanja, kar prispeva k večji odpornosti Slovenije in s tem celotne EU na sodobne varnostne grožnje.</w:t>
            </w:r>
          </w:p>
          <w:p w14:paraId="450C92BE" w14:textId="77777777" w:rsidR="00B10DAD" w:rsidRPr="00EA590A" w:rsidRDefault="00B10DAD" w:rsidP="00B10DAD">
            <w:pPr>
              <w:pStyle w:val="Navadensplet"/>
              <w:rPr>
                <w:sz w:val="22"/>
                <w:szCs w:val="22"/>
              </w:rPr>
            </w:pPr>
            <w:r w:rsidRPr="00EA590A">
              <w:rPr>
                <w:sz w:val="22"/>
                <w:szCs w:val="22"/>
              </w:rPr>
              <w:t>Na smotrnost programa vplivajo predvsem spremembe potreb upravičencev, dolgotrajni postopki javnih naročil, spremembe zakonodaje in spremembe varnostnega okolja (vstop HR v Schengen). Posodobitve programa in akcijskega načrta so omogočile realnejše cilje.</w:t>
            </w:r>
          </w:p>
          <w:p w14:paraId="0E66645C" w14:textId="3DE43E0E" w:rsidR="00B10DAD" w:rsidRPr="00EA590A" w:rsidRDefault="00B10DAD" w:rsidP="00B10DAD">
            <w:pPr>
              <w:pStyle w:val="Navadensplet"/>
              <w:jc w:val="both"/>
              <w:rPr>
                <w:bCs/>
                <w:sz w:val="22"/>
                <w:szCs w:val="22"/>
              </w:rPr>
            </w:pPr>
            <w:r w:rsidRPr="00EA590A">
              <w:rPr>
                <w:b/>
                <w:bCs/>
                <w:sz w:val="22"/>
                <w:szCs w:val="22"/>
              </w:rPr>
              <w:t>2. Dopolnjevanja</w:t>
            </w:r>
            <w:r w:rsidRPr="00EA590A">
              <w:rPr>
                <w:sz w:val="22"/>
                <w:szCs w:val="22"/>
              </w:rPr>
              <w:t xml:space="preserve">: </w:t>
            </w:r>
            <w:r w:rsidRPr="00EA590A">
              <w:rPr>
                <w:bCs/>
                <w:sz w:val="22"/>
                <w:szCs w:val="22"/>
              </w:rPr>
              <w:t>Ugotovljeno je dopolnjevanje med operacijami znotraj programa, zlasti med strateškimi aktivnostmi in operativnimi ukrepi za boj proti hudim in organiziranim oblikam čezmejne kriminalitete, kar omogoča skupen učinek. Zaznano je dopolnjevanje med programi EU, predvsem s področja upravljanja meja in migracij, kar prispeva k celovitemu obravnavanju varnostnih in migracijskih izzivov.</w:t>
            </w:r>
          </w:p>
          <w:p w14:paraId="0924CF07" w14:textId="77777777" w:rsidR="00B10DAD" w:rsidRPr="00EA590A" w:rsidRDefault="00B10DAD" w:rsidP="00B10DAD">
            <w:pPr>
              <w:pStyle w:val="Navadensplet"/>
              <w:jc w:val="both"/>
              <w:rPr>
                <w:bCs/>
                <w:sz w:val="22"/>
                <w:szCs w:val="22"/>
              </w:rPr>
            </w:pPr>
            <w:r w:rsidRPr="00EA590A">
              <w:rPr>
                <w:bCs/>
                <w:sz w:val="22"/>
                <w:szCs w:val="22"/>
              </w:rPr>
              <w:t>Dodatno se operacije dopolnjujejo s projekti, financiranimi iz drugih virov EU, vključno s centraliziranimi programi, kot je Obzorje Evropa, ter z naložbami iz Načrta za okrevanje in odpornost. Razvoj inovativnih orodij in tehnologij se tako povezuje z njihovo praktično uporabo, testiranjem in vključevanjem v nacionalne sisteme.</w:t>
            </w:r>
          </w:p>
          <w:p w14:paraId="6426FC75" w14:textId="77777777" w:rsidR="00B10DAD" w:rsidRPr="00EA590A" w:rsidRDefault="00B10DAD" w:rsidP="00B10DAD">
            <w:pPr>
              <w:pStyle w:val="Navadensplet"/>
              <w:jc w:val="both"/>
              <w:rPr>
                <w:bCs/>
                <w:sz w:val="22"/>
                <w:szCs w:val="22"/>
              </w:rPr>
            </w:pPr>
            <w:r w:rsidRPr="00EA590A">
              <w:rPr>
                <w:bCs/>
                <w:sz w:val="22"/>
                <w:szCs w:val="22"/>
              </w:rPr>
              <w:t xml:space="preserve">Takšen pristop povečuje dodano vrednost EU in uresničevanje ciljev EU. </w:t>
            </w:r>
          </w:p>
          <w:p w14:paraId="46B00831" w14:textId="77777777" w:rsidR="00B10DAD" w:rsidRPr="00EA590A" w:rsidRDefault="00B10DAD" w:rsidP="00B10DAD">
            <w:pPr>
              <w:pStyle w:val="Navadensplet"/>
              <w:jc w:val="both"/>
              <w:rPr>
                <w:sz w:val="22"/>
                <w:szCs w:val="22"/>
              </w:rPr>
            </w:pPr>
            <w:r w:rsidRPr="00EA590A">
              <w:rPr>
                <w:b/>
                <w:sz w:val="22"/>
                <w:szCs w:val="22"/>
              </w:rPr>
              <w:t>3. Izvajanje pravnega reda EU</w:t>
            </w:r>
            <w:r w:rsidRPr="00EA590A">
              <w:rPr>
                <w:sz w:val="22"/>
                <w:szCs w:val="22"/>
              </w:rPr>
              <w:t>: Vse izvajane operacije potekajo v polni skladnosti s pravnim redom EU in nacionalno zakonodajo. Njihov glavni namen je prispevati k varnosti v EU, hkrati pa dosledno varovati temeljne pravice posameznikov, kot so pravica do zasebnosti, varstvo osebnih podatkov in pravica do učinkovitega pravnega sredstva.</w:t>
            </w:r>
          </w:p>
          <w:p w14:paraId="6A372B05" w14:textId="77777777" w:rsidR="00B10DAD" w:rsidRPr="00EA590A" w:rsidRDefault="00B10DAD" w:rsidP="00B10DAD">
            <w:pPr>
              <w:pStyle w:val="Navadensplet"/>
              <w:jc w:val="both"/>
              <w:rPr>
                <w:sz w:val="22"/>
                <w:szCs w:val="22"/>
              </w:rPr>
            </w:pPr>
            <w:r w:rsidRPr="00EA590A">
              <w:rPr>
                <w:sz w:val="22"/>
                <w:szCs w:val="22"/>
              </w:rPr>
              <w:t xml:space="preserve">Operacije temeljijo na ključnih pravnih aktih EU, vključno s </w:t>
            </w:r>
            <w:r w:rsidRPr="00EA590A">
              <w:rPr>
                <w:b/>
                <w:bCs/>
                <w:sz w:val="22"/>
                <w:szCs w:val="22"/>
              </w:rPr>
              <w:t>schengenskim pravnim redom</w:t>
            </w:r>
            <w:r w:rsidRPr="00EA590A">
              <w:rPr>
                <w:sz w:val="22"/>
                <w:szCs w:val="22"/>
              </w:rPr>
              <w:t xml:space="preserve">, pravili o </w:t>
            </w:r>
            <w:r w:rsidRPr="00EA590A">
              <w:rPr>
                <w:b/>
                <w:bCs/>
                <w:sz w:val="22"/>
                <w:szCs w:val="22"/>
              </w:rPr>
              <w:t>policijskem in pravosodnem sodelovanju</w:t>
            </w:r>
            <w:r w:rsidRPr="00EA590A">
              <w:rPr>
                <w:sz w:val="22"/>
                <w:szCs w:val="22"/>
              </w:rPr>
              <w:t xml:space="preserve">, izmenjavi informacij, delovanju sistemov, kot je </w:t>
            </w:r>
            <w:r w:rsidRPr="00EA590A">
              <w:rPr>
                <w:b/>
                <w:bCs/>
                <w:sz w:val="22"/>
                <w:szCs w:val="22"/>
              </w:rPr>
              <w:t>Schengenski informacijski sistem (SIS)</w:t>
            </w:r>
            <w:r w:rsidRPr="00EA590A">
              <w:rPr>
                <w:sz w:val="22"/>
                <w:szCs w:val="22"/>
              </w:rPr>
              <w:t xml:space="preserve">, ter na pravilih o </w:t>
            </w:r>
            <w:r w:rsidRPr="00EA590A">
              <w:rPr>
                <w:b/>
                <w:bCs/>
                <w:sz w:val="22"/>
                <w:szCs w:val="22"/>
              </w:rPr>
              <w:t>varstvu osebnih podatkov</w:t>
            </w:r>
            <w:r w:rsidRPr="00EA590A">
              <w:rPr>
                <w:sz w:val="22"/>
                <w:szCs w:val="22"/>
              </w:rPr>
              <w:t>. Na nacionalni ravni se vse aktivnosti izvajajo v okviru zakonskih pristojnosti Policije in drugih pristojnih organov.</w:t>
            </w:r>
          </w:p>
          <w:p w14:paraId="617A5C3F" w14:textId="77777777" w:rsidR="00B10DAD" w:rsidRPr="00EA590A" w:rsidRDefault="00B10DAD" w:rsidP="00B10DAD">
            <w:pPr>
              <w:pStyle w:val="Navadensplet"/>
              <w:jc w:val="both"/>
              <w:rPr>
                <w:sz w:val="22"/>
                <w:szCs w:val="22"/>
              </w:rPr>
            </w:pPr>
            <w:r w:rsidRPr="00EA590A">
              <w:rPr>
                <w:sz w:val="22"/>
                <w:szCs w:val="22"/>
              </w:rPr>
              <w:t>S konkretnimi ukrepi se krepi:</w:t>
            </w:r>
          </w:p>
          <w:p w14:paraId="2E31B946" w14:textId="77777777" w:rsidR="00B10DAD" w:rsidRPr="00EA590A" w:rsidRDefault="00B10DAD" w:rsidP="00A00C8A">
            <w:pPr>
              <w:pStyle w:val="Navadensplet"/>
              <w:numPr>
                <w:ilvl w:val="0"/>
                <w:numId w:val="40"/>
              </w:numPr>
              <w:jc w:val="both"/>
              <w:rPr>
                <w:sz w:val="22"/>
                <w:szCs w:val="22"/>
              </w:rPr>
            </w:pPr>
            <w:r w:rsidRPr="00EA590A">
              <w:rPr>
                <w:b/>
                <w:bCs/>
                <w:sz w:val="22"/>
                <w:szCs w:val="22"/>
              </w:rPr>
              <w:t>čezmejno sodelovanje</w:t>
            </w:r>
            <w:r w:rsidRPr="00EA590A">
              <w:rPr>
                <w:sz w:val="22"/>
                <w:szCs w:val="22"/>
              </w:rPr>
              <w:t xml:space="preserve"> med državami članicami,</w:t>
            </w:r>
          </w:p>
          <w:p w14:paraId="449D8AD8" w14:textId="77777777" w:rsidR="00B10DAD" w:rsidRPr="00EA590A" w:rsidRDefault="00B10DAD" w:rsidP="00A00C8A">
            <w:pPr>
              <w:pStyle w:val="Navadensplet"/>
              <w:numPr>
                <w:ilvl w:val="0"/>
                <w:numId w:val="40"/>
              </w:numPr>
              <w:jc w:val="both"/>
              <w:rPr>
                <w:sz w:val="22"/>
                <w:szCs w:val="22"/>
              </w:rPr>
            </w:pPr>
            <w:r w:rsidRPr="00EA590A">
              <w:rPr>
                <w:b/>
                <w:bCs/>
                <w:sz w:val="22"/>
                <w:szCs w:val="22"/>
              </w:rPr>
              <w:t>boj proti hudim in organiziranim oblikam kriminala ter terorizmu</w:t>
            </w:r>
            <w:r w:rsidRPr="00EA590A">
              <w:rPr>
                <w:sz w:val="22"/>
                <w:szCs w:val="22"/>
              </w:rPr>
              <w:t>,</w:t>
            </w:r>
          </w:p>
          <w:p w14:paraId="6AE46731" w14:textId="77777777" w:rsidR="00B10DAD" w:rsidRPr="00EA590A" w:rsidRDefault="00B10DAD" w:rsidP="00A00C8A">
            <w:pPr>
              <w:pStyle w:val="Navadensplet"/>
              <w:numPr>
                <w:ilvl w:val="0"/>
                <w:numId w:val="40"/>
              </w:numPr>
              <w:jc w:val="both"/>
              <w:rPr>
                <w:sz w:val="22"/>
                <w:szCs w:val="22"/>
              </w:rPr>
            </w:pPr>
            <w:r w:rsidRPr="00EA590A">
              <w:rPr>
                <w:b/>
                <w:bCs/>
                <w:sz w:val="22"/>
                <w:szCs w:val="22"/>
              </w:rPr>
              <w:t>zaščita otrok in drugih ranljivih skupin</w:t>
            </w:r>
            <w:r w:rsidRPr="00EA590A">
              <w:rPr>
                <w:sz w:val="22"/>
                <w:szCs w:val="22"/>
              </w:rPr>
              <w:t>,</w:t>
            </w:r>
          </w:p>
          <w:p w14:paraId="5757C420" w14:textId="77777777" w:rsidR="00B10DAD" w:rsidRPr="00EA590A" w:rsidRDefault="00B10DAD" w:rsidP="00A00C8A">
            <w:pPr>
              <w:pStyle w:val="Navadensplet"/>
              <w:numPr>
                <w:ilvl w:val="0"/>
                <w:numId w:val="40"/>
              </w:numPr>
              <w:jc w:val="both"/>
              <w:rPr>
                <w:sz w:val="22"/>
                <w:szCs w:val="22"/>
              </w:rPr>
            </w:pPr>
            <w:r w:rsidRPr="00EA590A">
              <w:rPr>
                <w:b/>
                <w:bCs/>
                <w:sz w:val="22"/>
                <w:szCs w:val="22"/>
              </w:rPr>
              <w:t>forenzične, analitične in digitalne zmogljivosti</w:t>
            </w:r>
            <w:r w:rsidRPr="00EA590A">
              <w:rPr>
                <w:sz w:val="22"/>
                <w:szCs w:val="22"/>
              </w:rPr>
              <w:t xml:space="preserve"> organov pregona,</w:t>
            </w:r>
          </w:p>
          <w:p w14:paraId="5D0BED3E" w14:textId="77777777" w:rsidR="00B10DAD" w:rsidRPr="00EA590A" w:rsidRDefault="00B10DAD" w:rsidP="00A00C8A">
            <w:pPr>
              <w:pStyle w:val="Navadensplet"/>
              <w:numPr>
                <w:ilvl w:val="0"/>
                <w:numId w:val="40"/>
              </w:numPr>
              <w:jc w:val="both"/>
              <w:rPr>
                <w:sz w:val="22"/>
                <w:szCs w:val="22"/>
              </w:rPr>
            </w:pPr>
            <w:r w:rsidRPr="00EA590A">
              <w:rPr>
                <w:sz w:val="22"/>
                <w:szCs w:val="22"/>
              </w:rPr>
              <w:t xml:space="preserve">ter </w:t>
            </w:r>
            <w:r w:rsidRPr="00EA590A">
              <w:rPr>
                <w:b/>
                <w:bCs/>
                <w:sz w:val="22"/>
                <w:szCs w:val="22"/>
              </w:rPr>
              <w:t>odpornost na sodobne varnostne grožnje</w:t>
            </w:r>
            <w:r w:rsidRPr="00EA590A">
              <w:rPr>
                <w:sz w:val="22"/>
                <w:szCs w:val="22"/>
              </w:rPr>
              <w:t>, vključno s kibernetskimi in CBRN tveganji.</w:t>
            </w:r>
          </w:p>
          <w:p w14:paraId="2D9959C3" w14:textId="77777777" w:rsidR="00B10DAD" w:rsidRPr="00EA590A" w:rsidRDefault="00B10DAD" w:rsidP="00B10DAD">
            <w:pPr>
              <w:pStyle w:val="Navadensplet"/>
              <w:jc w:val="both"/>
              <w:rPr>
                <w:sz w:val="22"/>
                <w:szCs w:val="22"/>
              </w:rPr>
            </w:pPr>
            <w:r w:rsidRPr="00EA590A">
              <w:rPr>
                <w:sz w:val="22"/>
                <w:szCs w:val="22"/>
              </w:rPr>
              <w:t xml:space="preserve">Posebna pozornost je namenjena </w:t>
            </w:r>
            <w:r w:rsidRPr="00EA590A">
              <w:rPr>
                <w:b/>
                <w:bCs/>
                <w:sz w:val="22"/>
                <w:szCs w:val="22"/>
              </w:rPr>
              <w:t>odgovorni uporabi podatkov</w:t>
            </w:r>
            <w:r w:rsidRPr="00EA590A">
              <w:rPr>
                <w:sz w:val="22"/>
                <w:szCs w:val="22"/>
              </w:rPr>
              <w:t xml:space="preserve">, interoperabilnosti informacijskih sistemov in zaščiti žrtev, prič ter žvižgačev. Vse dejavnosti so zasnovane tako, da so </w:t>
            </w:r>
            <w:r w:rsidRPr="00EA590A">
              <w:rPr>
                <w:b/>
                <w:bCs/>
                <w:sz w:val="22"/>
                <w:szCs w:val="22"/>
              </w:rPr>
              <w:t>sorazmerne, pregledne in zakonite</w:t>
            </w:r>
            <w:r w:rsidRPr="00EA590A">
              <w:rPr>
                <w:sz w:val="22"/>
                <w:szCs w:val="22"/>
              </w:rPr>
              <w:t>.</w:t>
            </w:r>
          </w:p>
          <w:p w14:paraId="6F155971" w14:textId="77777777" w:rsidR="00B10DAD" w:rsidRPr="00EA590A" w:rsidRDefault="00B10DAD" w:rsidP="00B10DAD">
            <w:pPr>
              <w:pStyle w:val="Navadensplet"/>
              <w:jc w:val="both"/>
              <w:rPr>
                <w:sz w:val="22"/>
                <w:szCs w:val="22"/>
              </w:rPr>
            </w:pPr>
            <w:r w:rsidRPr="00EA590A">
              <w:rPr>
                <w:sz w:val="22"/>
                <w:szCs w:val="22"/>
              </w:rPr>
              <w:t xml:space="preserve">Izvedene operacije tako pomembno prispevajo k </w:t>
            </w:r>
            <w:r w:rsidRPr="00EA590A">
              <w:rPr>
                <w:b/>
                <w:bCs/>
                <w:sz w:val="22"/>
                <w:szCs w:val="22"/>
              </w:rPr>
              <w:t>uresničevanju ciljev varnostne politike EU</w:t>
            </w:r>
            <w:r w:rsidRPr="00EA590A">
              <w:rPr>
                <w:sz w:val="22"/>
                <w:szCs w:val="22"/>
              </w:rPr>
              <w:t xml:space="preserve">, krepitvi schengenskega območja ter k večji varnosti prebivalcev EU. Slovenija bo tudi v prihodnje </w:t>
            </w:r>
            <w:r w:rsidRPr="00EA590A">
              <w:rPr>
                <w:b/>
                <w:bCs/>
                <w:sz w:val="22"/>
                <w:szCs w:val="22"/>
              </w:rPr>
              <w:t>aktivno spremljala razvoj evropske zakonodaje in politik</w:t>
            </w:r>
            <w:r w:rsidRPr="00EA590A">
              <w:rPr>
                <w:sz w:val="22"/>
                <w:szCs w:val="22"/>
              </w:rPr>
              <w:t xml:space="preserve"> ter se pravočasno prilagajala novim zahtevam, da zagotovi trajno skladnost in učinkovito izvajanje skupnih evropskih ciljev.</w:t>
            </w:r>
          </w:p>
          <w:p w14:paraId="21152875" w14:textId="51A1D88A" w:rsidR="00B10DAD" w:rsidRPr="00EA590A" w:rsidRDefault="00B10DAD" w:rsidP="00B10DAD">
            <w:pPr>
              <w:pStyle w:val="Personnequisigne"/>
              <w:jc w:val="both"/>
              <w:rPr>
                <w:i w:val="0"/>
                <w:sz w:val="22"/>
              </w:rPr>
            </w:pPr>
            <w:r w:rsidRPr="00EA590A">
              <w:rPr>
                <w:b/>
                <w:i w:val="0"/>
                <w:sz w:val="22"/>
              </w:rPr>
              <w:t>4. Komuniciranje in prepoznavnost</w:t>
            </w:r>
            <w:r w:rsidRPr="00EA590A">
              <w:rPr>
                <w:i w:val="0"/>
                <w:sz w:val="22"/>
              </w:rPr>
              <w:t>: Slovenija vestno skrbi za promocijo program</w:t>
            </w:r>
            <w:r w:rsidR="001507E7" w:rsidRPr="00EA590A">
              <w:rPr>
                <w:i w:val="0"/>
                <w:sz w:val="22"/>
              </w:rPr>
              <w:t>a</w:t>
            </w:r>
            <w:r w:rsidRPr="00EA590A">
              <w:rPr>
                <w:i w:val="0"/>
                <w:sz w:val="22"/>
              </w:rPr>
              <w:t xml:space="preserve"> s področja notranje varnosti, </w:t>
            </w:r>
            <w:r w:rsidR="001507E7" w:rsidRPr="00EA590A">
              <w:rPr>
                <w:i w:val="0"/>
                <w:sz w:val="22"/>
              </w:rPr>
              <w:t xml:space="preserve">kjer </w:t>
            </w:r>
            <w:r w:rsidRPr="00EA590A">
              <w:rPr>
                <w:i w:val="0"/>
                <w:sz w:val="22"/>
              </w:rPr>
              <w:t>nastajajo številne operacije</w:t>
            </w:r>
            <w:r w:rsidR="001507E7" w:rsidRPr="00EA590A">
              <w:rPr>
                <w:i w:val="0"/>
                <w:sz w:val="22"/>
              </w:rPr>
              <w:t xml:space="preserve"> za izboljšanje </w:t>
            </w:r>
            <w:r w:rsidRPr="00EA590A">
              <w:rPr>
                <w:i w:val="0"/>
                <w:sz w:val="22"/>
              </w:rPr>
              <w:t>vsakdan</w:t>
            </w:r>
            <w:r w:rsidR="001507E7" w:rsidRPr="00EA590A">
              <w:rPr>
                <w:i w:val="0"/>
                <w:sz w:val="22"/>
              </w:rPr>
              <w:t>a.</w:t>
            </w:r>
          </w:p>
          <w:p w14:paraId="43BDD344" w14:textId="13A82E92" w:rsidR="00B10DAD" w:rsidRPr="00EA590A" w:rsidRDefault="00B10DAD" w:rsidP="00B10DAD">
            <w:pPr>
              <w:autoSpaceDE w:val="0"/>
              <w:autoSpaceDN w:val="0"/>
              <w:adjustRightInd w:val="0"/>
              <w:spacing w:before="240" w:after="0"/>
              <w:rPr>
                <w:sz w:val="22"/>
              </w:rPr>
            </w:pPr>
            <w:r w:rsidRPr="00EA590A">
              <w:rPr>
                <w:iCs/>
                <w:sz w:val="22"/>
              </w:rPr>
              <w:t xml:space="preserve">Obeležili smo Dan Evrope ter </w:t>
            </w:r>
            <w:r w:rsidRPr="00EA590A">
              <w:rPr>
                <w:sz w:val="22"/>
              </w:rPr>
              <w:t xml:space="preserve">organizirali tudi slavnostni dogodek ob zaključku programskega obdobja 2014 – 2020, s spremljajočo razstavo uspešnih sofinanciranih projektov iz AMIF in SNV. </w:t>
            </w:r>
            <w:r w:rsidRPr="00EA590A">
              <w:rPr>
                <w:iCs/>
                <w:sz w:val="22"/>
              </w:rPr>
              <w:t xml:space="preserve">V okviru vseslovenske akcije »EU projekt, moj projekt« je </w:t>
            </w:r>
            <w:r w:rsidR="001507E7" w:rsidRPr="00EA590A">
              <w:rPr>
                <w:iCs/>
                <w:sz w:val="22"/>
              </w:rPr>
              <w:t>sodelovalo</w:t>
            </w:r>
            <w:r w:rsidRPr="00EA590A">
              <w:rPr>
                <w:iCs/>
                <w:sz w:val="22"/>
              </w:rPr>
              <w:t xml:space="preserve"> 20 projektov, (so)financiranih iz različnih EU sredstev. </w:t>
            </w:r>
            <w:r w:rsidR="001507E7" w:rsidRPr="00EA590A">
              <w:rPr>
                <w:iCs/>
                <w:sz w:val="22"/>
              </w:rPr>
              <w:t>I</w:t>
            </w:r>
            <w:r w:rsidRPr="00EA590A">
              <w:rPr>
                <w:sz w:val="22"/>
              </w:rPr>
              <w:t xml:space="preserve">zvedeni </w:t>
            </w:r>
            <w:r w:rsidR="001507E7" w:rsidRPr="00EA590A">
              <w:rPr>
                <w:sz w:val="22"/>
              </w:rPr>
              <w:t xml:space="preserve">so bili </w:t>
            </w:r>
            <w:r w:rsidRPr="00EA590A">
              <w:rPr>
                <w:sz w:val="22"/>
              </w:rPr>
              <w:t>dogodki, promovirani</w:t>
            </w:r>
            <w:r w:rsidRPr="00EA590A">
              <w:rPr>
                <w:i/>
                <w:iCs/>
                <w:sz w:val="22"/>
              </w:rPr>
              <w:t xml:space="preserve"> </w:t>
            </w:r>
            <w:r w:rsidRPr="00EA590A">
              <w:rPr>
                <w:sz w:val="22"/>
              </w:rPr>
              <w:t xml:space="preserve">preko tiskanih medijev, spletnih strani, socialnih omrežij (Facebook, LinkedIn), radia in televizije - </w:t>
            </w:r>
            <w:r w:rsidRPr="00EA590A">
              <w:rPr>
                <w:iCs/>
                <w:sz w:val="22"/>
              </w:rPr>
              <w:t xml:space="preserve">z namenom pokazati, kako evropska sredstva dejansko koristijo ljudem. </w:t>
            </w:r>
            <w:r w:rsidR="001507E7" w:rsidRPr="00EA590A">
              <w:rPr>
                <w:iCs/>
                <w:sz w:val="22"/>
              </w:rPr>
              <w:t xml:space="preserve">Sočasno </w:t>
            </w:r>
            <w:r w:rsidRPr="00EA590A">
              <w:rPr>
                <w:iCs/>
                <w:sz w:val="22"/>
              </w:rPr>
              <w:t>je po Sloveniji potekala Potujoča pisarna, kjer smo ljudem na terenu predstavlja</w:t>
            </w:r>
            <w:r w:rsidR="001507E7" w:rsidRPr="00EA590A">
              <w:rPr>
                <w:iCs/>
                <w:sz w:val="22"/>
              </w:rPr>
              <w:t>li</w:t>
            </w:r>
            <w:r w:rsidRPr="00EA590A">
              <w:rPr>
                <w:iCs/>
                <w:sz w:val="22"/>
              </w:rPr>
              <w:t xml:space="preserve"> priložnosti evropskih skladov. V okviru treh so bile predstavljene tudi možnosti financiranja </w:t>
            </w:r>
            <w:r w:rsidR="001507E7" w:rsidRPr="00EA590A">
              <w:rPr>
                <w:iCs/>
                <w:sz w:val="22"/>
              </w:rPr>
              <w:t xml:space="preserve">s področja notranje </w:t>
            </w:r>
            <w:r w:rsidRPr="00EA590A">
              <w:rPr>
                <w:iCs/>
                <w:sz w:val="22"/>
              </w:rPr>
              <w:t>varnost</w:t>
            </w:r>
            <w:r w:rsidR="001507E7" w:rsidRPr="00EA590A">
              <w:rPr>
                <w:iCs/>
                <w:sz w:val="22"/>
              </w:rPr>
              <w:t>i.</w:t>
            </w:r>
          </w:p>
          <w:p w14:paraId="645EAB79" w14:textId="77777777" w:rsidR="00B10DAD" w:rsidRPr="00EA590A" w:rsidRDefault="00B10DAD" w:rsidP="00B10DAD">
            <w:pPr>
              <w:pStyle w:val="Personnequisigne"/>
              <w:jc w:val="both"/>
              <w:rPr>
                <w:i w:val="0"/>
                <w:iCs/>
                <w:sz w:val="22"/>
              </w:rPr>
            </w:pPr>
          </w:p>
          <w:p w14:paraId="1526EAE5" w14:textId="65FBC3D5" w:rsidR="00B10DAD" w:rsidRPr="00EA590A" w:rsidRDefault="00B10DAD" w:rsidP="00B10DAD">
            <w:pPr>
              <w:pStyle w:val="Personnequisigne"/>
              <w:jc w:val="both"/>
              <w:rPr>
                <w:i w:val="0"/>
                <w:iCs/>
                <w:sz w:val="22"/>
              </w:rPr>
            </w:pPr>
            <w:r w:rsidRPr="00EA590A">
              <w:rPr>
                <w:i w:val="0"/>
                <w:iCs/>
                <w:sz w:val="22"/>
              </w:rPr>
              <w:t xml:space="preserve">Vsebine </w:t>
            </w:r>
            <w:r w:rsidR="004177AF" w:rsidRPr="00EA590A">
              <w:rPr>
                <w:i w:val="0"/>
                <w:iCs/>
                <w:sz w:val="22"/>
              </w:rPr>
              <w:t>delimo</w:t>
            </w:r>
            <w:r w:rsidRPr="00EA590A">
              <w:rPr>
                <w:i w:val="0"/>
                <w:iCs/>
                <w:sz w:val="22"/>
              </w:rPr>
              <w:t xml:space="preserve"> na družbenih omrežjih</w:t>
            </w:r>
            <w:r w:rsidR="00427C61" w:rsidRPr="00EA590A">
              <w:rPr>
                <w:i w:val="0"/>
                <w:iCs/>
                <w:sz w:val="22"/>
              </w:rPr>
              <w:t xml:space="preserve"> (</w:t>
            </w:r>
            <w:r w:rsidRPr="00EA590A">
              <w:rPr>
                <w:i w:val="0"/>
                <w:iCs/>
                <w:sz w:val="22"/>
              </w:rPr>
              <w:t>Facebook, X</w:t>
            </w:r>
            <w:r w:rsidR="00427C61" w:rsidRPr="00EA590A">
              <w:rPr>
                <w:i w:val="0"/>
                <w:iCs/>
                <w:sz w:val="22"/>
              </w:rPr>
              <w:t xml:space="preserve">, </w:t>
            </w:r>
            <w:r w:rsidRPr="00EA590A">
              <w:rPr>
                <w:i w:val="0"/>
                <w:iCs/>
                <w:sz w:val="22"/>
              </w:rPr>
              <w:t>LinkedIn</w:t>
            </w:r>
            <w:r w:rsidR="00427C61" w:rsidRPr="00EA590A">
              <w:rPr>
                <w:i w:val="0"/>
                <w:iCs/>
                <w:sz w:val="22"/>
              </w:rPr>
              <w:t>)</w:t>
            </w:r>
            <w:r w:rsidRPr="00EA590A">
              <w:rPr>
                <w:i w:val="0"/>
                <w:iCs/>
                <w:sz w:val="22"/>
              </w:rPr>
              <w:t>. Aktivnosti upravičencev, ki izvajajo projekte, so vidne tudi na njihovih spletnih straneh in dogodkih.</w:t>
            </w:r>
            <w:r w:rsidR="00934725" w:rsidRPr="00EA590A">
              <w:rPr>
                <w:i w:val="0"/>
                <w:iCs/>
                <w:sz w:val="22"/>
              </w:rPr>
              <w:t xml:space="preserve"> </w:t>
            </w:r>
            <w:r w:rsidRPr="00EA590A">
              <w:rPr>
                <w:i w:val="0"/>
                <w:sz w:val="22"/>
              </w:rPr>
              <w:t xml:space="preserve">Obiskan je tudi enotni spletni portal </w:t>
            </w:r>
            <w:hyperlink r:id="rId12" w:tgtFrame="_new" w:history="1">
              <w:r w:rsidRPr="00EA590A">
                <w:rPr>
                  <w:rStyle w:val="Hiperpovezava"/>
                  <w:i w:val="0"/>
                  <w:color w:val="auto"/>
                  <w:sz w:val="22"/>
                </w:rPr>
                <w:t>www.evropskasredstva.si</w:t>
              </w:r>
            </w:hyperlink>
            <w:r w:rsidRPr="00EA590A">
              <w:rPr>
                <w:i w:val="0"/>
                <w:sz w:val="22"/>
              </w:rPr>
              <w:t>, kjer so zbrane ključne in zanimive informacije o evropskih sredstvih, projektih in priložnostih za sodelovanje.</w:t>
            </w:r>
          </w:p>
          <w:p w14:paraId="110E094B" w14:textId="77777777" w:rsidR="00B10DAD" w:rsidRPr="00EA590A" w:rsidRDefault="00B10DAD" w:rsidP="00B10DAD">
            <w:pPr>
              <w:pStyle w:val="Personnequisigne"/>
              <w:jc w:val="both"/>
              <w:rPr>
                <w:i w:val="0"/>
                <w:sz w:val="22"/>
              </w:rPr>
            </w:pPr>
          </w:p>
          <w:p w14:paraId="62873B44" w14:textId="77777777" w:rsidR="00B10DAD" w:rsidRPr="00EA590A" w:rsidRDefault="00B10DAD" w:rsidP="00B10DAD">
            <w:pPr>
              <w:pStyle w:val="Personnequisigne"/>
              <w:jc w:val="both"/>
              <w:rPr>
                <w:i w:val="0"/>
                <w:sz w:val="22"/>
              </w:rPr>
            </w:pPr>
            <w:r w:rsidRPr="00EA590A">
              <w:rPr>
                <w:b/>
                <w:i w:val="0"/>
                <w:sz w:val="22"/>
              </w:rPr>
              <w:t xml:space="preserve">5. </w:t>
            </w:r>
            <w:proofErr w:type="spellStart"/>
            <w:r w:rsidRPr="00EA590A">
              <w:rPr>
                <w:b/>
                <w:i w:val="0"/>
                <w:sz w:val="22"/>
              </w:rPr>
              <w:t>Omogočitveni</w:t>
            </w:r>
            <w:proofErr w:type="spellEnd"/>
            <w:r w:rsidRPr="00EA590A">
              <w:rPr>
                <w:b/>
                <w:i w:val="0"/>
                <w:sz w:val="22"/>
              </w:rPr>
              <w:t xml:space="preserve"> pogoji</w:t>
            </w:r>
            <w:r w:rsidRPr="00EA590A">
              <w:rPr>
                <w:i w:val="0"/>
                <w:sz w:val="22"/>
              </w:rPr>
              <w:t>: Slovenija učinkovito implementira horizontalne omogočitvene pogoje »Dejanska uporaba in izvajanje Listine o temeljnih pravicah« ter »Izvajanje in uporaba Konvencije združenih narodov o pravicah invalidov v skladu s Sklepom Sveta 2010/48/ES« v vseh fazah izvajanja programa.</w:t>
            </w:r>
          </w:p>
          <w:p w14:paraId="78F9824E" w14:textId="77777777" w:rsidR="00B10DAD" w:rsidRPr="00EA590A" w:rsidRDefault="00B10DAD" w:rsidP="00B10DAD">
            <w:pPr>
              <w:pStyle w:val="Personnequisigne"/>
              <w:jc w:val="both"/>
              <w:rPr>
                <w:i w:val="0"/>
                <w:sz w:val="22"/>
              </w:rPr>
            </w:pPr>
            <w:r w:rsidRPr="00EA590A">
              <w:rPr>
                <w:i w:val="0"/>
                <w:sz w:val="22"/>
              </w:rPr>
              <w:tab/>
            </w:r>
          </w:p>
          <w:p w14:paraId="1708EC0A" w14:textId="2B496720" w:rsidR="00B10DAD" w:rsidRPr="00EA590A" w:rsidRDefault="00B10DAD" w:rsidP="00B10DAD">
            <w:pPr>
              <w:rPr>
                <w:sz w:val="22"/>
              </w:rPr>
            </w:pPr>
            <w:r w:rsidRPr="00EA590A">
              <w:rPr>
                <w:b/>
                <w:iCs/>
                <w:sz w:val="22"/>
              </w:rPr>
              <w:t>6. Projekti v tretjih državah</w:t>
            </w:r>
            <w:r w:rsidRPr="00EA590A">
              <w:rPr>
                <w:iCs/>
                <w:sz w:val="22"/>
              </w:rPr>
              <w:t>:</w:t>
            </w:r>
            <w:r w:rsidRPr="00EA590A">
              <w:rPr>
                <w:sz w:val="22"/>
              </w:rPr>
              <w:t xml:space="preserve"> Slovenija je v </w:t>
            </w:r>
            <w:r w:rsidR="00511D67" w:rsidRPr="00EA590A">
              <w:rPr>
                <w:sz w:val="22"/>
              </w:rPr>
              <w:t>tem</w:t>
            </w:r>
            <w:r w:rsidRPr="00EA590A">
              <w:rPr>
                <w:sz w:val="22"/>
              </w:rPr>
              <w:t xml:space="preserve"> obdobju izvajala aktivnosti v tretjih državah, zlasti na Zahodnem Balkanu, ki ga evropske varnostne ocene opredeljujejo kot pomembno kriminalno žarišče. Regija predstavlja logistično območje za nezakonito trgovino in delovanje organiziranih kriminalnih mrež, Slovenija pa ima pri tem vlogo tranzitne države za vstop v EU.</w:t>
            </w:r>
          </w:p>
          <w:p w14:paraId="7AD1BB88" w14:textId="4D00651D" w:rsidR="006A41E2" w:rsidRPr="00EA590A" w:rsidRDefault="00B10DAD" w:rsidP="0031754E">
            <w:pPr>
              <w:rPr>
                <w:sz w:val="22"/>
              </w:rPr>
            </w:pPr>
            <w:r w:rsidRPr="00EA590A">
              <w:rPr>
                <w:sz w:val="22"/>
              </w:rPr>
              <w:t xml:space="preserve">Policija </w:t>
            </w:r>
            <w:r w:rsidR="001507E7" w:rsidRPr="00EA590A">
              <w:rPr>
                <w:sz w:val="22"/>
              </w:rPr>
              <w:t xml:space="preserve">je </w:t>
            </w:r>
            <w:r w:rsidRPr="00EA590A">
              <w:rPr>
                <w:sz w:val="22"/>
              </w:rPr>
              <w:t xml:space="preserve">okrepila sodelovanje z državami regije (Severna Makedonija, Bosna in Hercegovina, Črna gora, Srbija) za učinkovitejši boj proti čezmejni organizirani kriminaliteti ter </w:t>
            </w:r>
            <w:r w:rsidR="00B91FE8" w:rsidRPr="00EA590A">
              <w:rPr>
                <w:sz w:val="22"/>
              </w:rPr>
              <w:t>večjo</w:t>
            </w:r>
            <w:r w:rsidRPr="00EA590A">
              <w:rPr>
                <w:sz w:val="22"/>
              </w:rPr>
              <w:t xml:space="preserve"> varnosti Slovenije in EU.</w:t>
            </w:r>
          </w:p>
          <w:p w14:paraId="4CD8BB51" w14:textId="46B9B6CE" w:rsidR="0031754E" w:rsidRPr="00EA590A" w:rsidRDefault="0031754E" w:rsidP="0031754E">
            <w:pPr>
              <w:rPr>
                <w:iCs/>
                <w:noProof/>
                <w:sz w:val="22"/>
              </w:rPr>
            </w:pPr>
            <w:r w:rsidRPr="00EA590A">
              <w:rPr>
                <w:iCs/>
                <w:noProof/>
                <w:sz w:val="22"/>
              </w:rPr>
              <w:t>Za izboljšano delo na področju kromatogr</w:t>
            </w:r>
            <w:r w:rsidR="00EA590A">
              <w:rPr>
                <w:iCs/>
                <w:noProof/>
                <w:sz w:val="22"/>
              </w:rPr>
              <w:t>a</w:t>
            </w:r>
            <w:r w:rsidRPr="00EA590A">
              <w:rPr>
                <w:iCs/>
                <w:noProof/>
                <w:sz w:val="22"/>
              </w:rPr>
              <w:t>fije so se predstavniki Nacionalnega forenzičnega laboratorija udeležili mednarodnega dogodka v Liverpool</w:t>
            </w:r>
            <w:r w:rsidR="000D06B6" w:rsidRPr="00EA590A">
              <w:rPr>
                <w:iCs/>
                <w:noProof/>
                <w:sz w:val="22"/>
              </w:rPr>
              <w:t>u</w:t>
            </w:r>
            <w:r w:rsidRPr="00EA590A">
              <w:rPr>
                <w:iCs/>
                <w:noProof/>
                <w:sz w:val="22"/>
              </w:rPr>
              <w:t xml:space="preserve"> (Združeno kraljestvo). V okviru krepitve sinergij pa so se policisti udeležili mednarodnega usposabljanja v Quantic</w:t>
            </w:r>
            <w:r w:rsidR="000D06B6" w:rsidRPr="00EA590A">
              <w:rPr>
                <w:iCs/>
                <w:noProof/>
                <w:sz w:val="22"/>
              </w:rPr>
              <w:t>u</w:t>
            </w:r>
            <w:r w:rsidRPr="00EA590A">
              <w:rPr>
                <w:iCs/>
                <w:noProof/>
                <w:sz w:val="22"/>
              </w:rPr>
              <w:t xml:space="preserve"> (Združene države Amerike), kar prispeva k sodelovanju s tretjimi državami in prenosu znanj.</w:t>
            </w:r>
          </w:p>
        </w:tc>
      </w:tr>
    </w:tbl>
    <w:p w14:paraId="0620BC4F" w14:textId="77777777" w:rsidR="006A41E2" w:rsidRPr="00EA590A" w:rsidRDefault="006A41E2" w:rsidP="006A41E2">
      <w:pPr>
        <w:rPr>
          <w:noProof/>
          <w:sz w:val="22"/>
        </w:rPr>
      </w:pPr>
    </w:p>
    <w:sectPr w:rsidR="006A41E2" w:rsidRPr="00EA590A" w:rsidSect="00FF51AC">
      <w:footerReference w:type="default" r:id="rId13"/>
      <w:footerReference w:type="first" r:id="rId14"/>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65E4" w14:textId="77777777" w:rsidR="00BA60CC" w:rsidRDefault="00BA60CC" w:rsidP="00555224">
      <w:pPr>
        <w:spacing w:before="0" w:after="0"/>
      </w:pPr>
      <w:r>
        <w:separator/>
      </w:r>
    </w:p>
  </w:endnote>
  <w:endnote w:type="continuationSeparator" w:id="0">
    <w:p w14:paraId="1EEAC3DE" w14:textId="77777777" w:rsidR="00BA60CC" w:rsidRDefault="00BA60CC" w:rsidP="00555224">
      <w:pPr>
        <w:spacing w:before="0" w:after="0"/>
      </w:pPr>
      <w:r>
        <w:continuationSeparator/>
      </w:r>
    </w:p>
  </w:endnote>
  <w:endnote w:type="continuationNotice" w:id="1">
    <w:p w14:paraId="63D6052C" w14:textId="77777777" w:rsidR="00BA60CC" w:rsidRDefault="00BA60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38A9" w14:textId="2203458F" w:rsidR="00BA60CC" w:rsidRPr="00FF51AC" w:rsidRDefault="00BA60CC" w:rsidP="00FF51AC">
    <w:pPr>
      <w:pStyle w:val="Noga"/>
      <w:rPr>
        <w:rFonts w:ascii="Arial" w:hAnsi="Arial" w:cs="Arial"/>
        <w:b/>
        <w:sz w:val="48"/>
      </w:rPr>
    </w:pPr>
    <w:r w:rsidRPr="00FF51AC">
      <w:rPr>
        <w:rFonts w:ascii="Arial" w:hAnsi="Arial" w:cs="Arial"/>
        <w:b/>
        <w:sz w:val="48"/>
      </w:rPr>
      <w:t>SL</w:t>
    </w:r>
    <w:r w:rsidRPr="00FF51AC">
      <w:rPr>
        <w:rFonts w:ascii="Arial" w:hAnsi="Arial" w:cs="Arial"/>
        <w:b/>
        <w:sz w:val="48"/>
      </w:rPr>
      <w:tab/>
    </w:r>
    <w:r>
      <w:fldChar w:fldCharType="begin"/>
    </w:r>
    <w:r>
      <w:instrText xml:space="preserve"> PAGE  \* MERGEFORMAT </w:instrText>
    </w:r>
    <w:r>
      <w:fldChar w:fldCharType="separate"/>
    </w:r>
    <w:r w:rsidR="003A7AE7">
      <w:rPr>
        <w:noProof/>
      </w:rPr>
      <w:t>17</w:t>
    </w:r>
    <w:r>
      <w:fldChar w:fldCharType="end"/>
    </w:r>
    <w:r>
      <w:tab/>
    </w:r>
    <w:r w:rsidRPr="00FF51AC">
      <w:tab/>
    </w:r>
    <w:r w:rsidRPr="00FF51A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AFA8" w14:textId="77777777" w:rsidR="00BA60CC" w:rsidRPr="00FF51AC" w:rsidRDefault="00BA60CC" w:rsidP="00FF51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A5CE" w14:textId="77777777" w:rsidR="00BA60CC" w:rsidRDefault="00BA60CC" w:rsidP="00555224">
      <w:pPr>
        <w:spacing w:before="0" w:after="0"/>
      </w:pPr>
      <w:r>
        <w:separator/>
      </w:r>
    </w:p>
  </w:footnote>
  <w:footnote w:type="continuationSeparator" w:id="0">
    <w:p w14:paraId="551FC948" w14:textId="77777777" w:rsidR="00BA60CC" w:rsidRDefault="00BA60CC" w:rsidP="00555224">
      <w:pPr>
        <w:spacing w:before="0" w:after="0"/>
      </w:pPr>
      <w:r>
        <w:continuationSeparator/>
      </w:r>
    </w:p>
  </w:footnote>
  <w:footnote w:type="continuationNotice" w:id="1">
    <w:p w14:paraId="3B65F883" w14:textId="77777777" w:rsidR="00BA60CC" w:rsidRDefault="00BA60CC">
      <w:pPr>
        <w:spacing w:before="0" w:after="0"/>
      </w:pPr>
    </w:p>
  </w:footnote>
  <w:footnote w:id="2">
    <w:p w14:paraId="42598A5E" w14:textId="77777777" w:rsidR="00BA60CC" w:rsidRPr="002F390E" w:rsidRDefault="00BA60CC">
      <w:pPr>
        <w:pStyle w:val="Sprotnaopomba-besedilo"/>
        <w:rPr>
          <w:sz w:val="18"/>
        </w:rPr>
      </w:pPr>
      <w:r>
        <w:rPr>
          <w:rStyle w:val="Sprotnaopomba-sklic"/>
        </w:rPr>
        <w:footnoteRef/>
      </w:r>
      <w:r>
        <w:tab/>
      </w:r>
      <w:r w:rsidRPr="002F390E">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001DFFB6" w14:textId="77777777" w:rsidR="00BA60CC" w:rsidRPr="002F390E" w:rsidRDefault="00BA60CC">
      <w:pPr>
        <w:pStyle w:val="Sprotnaopomba-besedilo"/>
        <w:rPr>
          <w:sz w:val="18"/>
        </w:rPr>
      </w:pPr>
      <w:r w:rsidRPr="002F390E">
        <w:rPr>
          <w:rStyle w:val="Sprotnaopomba-sklic"/>
        </w:rPr>
        <w:footnoteRef/>
      </w:r>
      <w:r w:rsidRPr="002F390E">
        <w:tab/>
      </w:r>
      <w:r w:rsidRPr="002F390E">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19E78824" w14:textId="77777777" w:rsidR="00BA60CC" w:rsidRPr="002F390E" w:rsidRDefault="00BA60CC">
      <w:pPr>
        <w:pStyle w:val="Sprotnaopomba-besedilo"/>
        <w:rPr>
          <w:sz w:val="18"/>
        </w:rPr>
      </w:pPr>
      <w:r w:rsidRPr="002F390E">
        <w:rPr>
          <w:rStyle w:val="Sprotnaopomba-sklic"/>
        </w:rPr>
        <w:footnoteRef/>
      </w:r>
      <w:r w:rsidRPr="002F390E">
        <w:tab/>
      </w:r>
      <w:r w:rsidRPr="002F390E">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25E8832" w14:textId="77777777" w:rsidR="00BA60CC" w:rsidRPr="002F390E" w:rsidRDefault="00BA60CC">
      <w:pPr>
        <w:pStyle w:val="Sprotnaopomba-besedilo"/>
      </w:pPr>
      <w:r w:rsidRPr="002F390E">
        <w:rPr>
          <w:rStyle w:val="Sprotnaopomba-sklic"/>
        </w:rPr>
        <w:footnoteRef/>
      </w:r>
      <w:r w:rsidRPr="002F390E">
        <w:tab/>
      </w:r>
      <w:r w:rsidRPr="002F390E">
        <w:rPr>
          <w:sz w:val="18"/>
        </w:rPr>
        <w:t>To lahko na primer vključuje socialno-ekonomske ali politične dejavnike, spremembe regulativnega okvira itd.</w:t>
      </w:r>
    </w:p>
  </w:footnote>
  <w:footnote w:id="6">
    <w:p w14:paraId="5F9BDA6F" w14:textId="77777777" w:rsidR="00BA60CC" w:rsidRPr="006A41E2" w:rsidRDefault="00BA60CC">
      <w:pPr>
        <w:pStyle w:val="Sprotnaopomba-besedilo"/>
      </w:pPr>
      <w:r w:rsidRPr="002F390E">
        <w:rPr>
          <w:rStyle w:val="Sprotnaopomba-sklic"/>
        </w:rPr>
        <w:footnoteRef/>
      </w:r>
      <w:r w:rsidRPr="002F390E">
        <w:tab/>
      </w:r>
      <w:r w:rsidRPr="002F390E">
        <w:rPr>
          <w:sz w:val="18"/>
        </w:rPr>
        <w:t>Na primer težave v zvezi s področjem uporabe ukrepa (npr. merila za upravičenost), majhno zanimanje upravičencev ali udeležencev, kakršno koli odstopanje pri izvajanju ukrepa itd.</w:t>
      </w:r>
    </w:p>
  </w:footnote>
  <w:footnote w:id="7">
    <w:p w14:paraId="7917B26E" w14:textId="77777777" w:rsidR="00BA60CC" w:rsidRPr="00BC54D3" w:rsidRDefault="00BA60CC">
      <w:pPr>
        <w:pStyle w:val="Sprotnaopomba-besedilo"/>
        <w:rPr>
          <w:sz w:val="18"/>
          <w:szCs w:val="18"/>
        </w:rPr>
      </w:pPr>
      <w:r>
        <w:rPr>
          <w:rStyle w:val="Sprotnaopomba-sklic"/>
        </w:rPr>
        <w:footnoteRef/>
      </w:r>
      <w:r>
        <w:tab/>
      </w:r>
      <w:r>
        <w:rPr>
          <w:sz w:val="18"/>
        </w:rPr>
        <w:t>Če je to ustrezno za ta namen, navedite priporočila iz mehanizmov za nadzor kakovosti in ocenjevanje, kot so: (i) schengenski ocenjevalni in spremljevalni mehanizem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ali (ii) drugi mehanizmi za nadzor kakovosti in ocenjevanje, kot je ustrezno.</w:t>
      </w:r>
    </w:p>
  </w:footnote>
  <w:footnote w:id="8">
    <w:p w14:paraId="1D252B8F" w14:textId="77777777" w:rsidR="00BA60CC" w:rsidRPr="006A41E2" w:rsidRDefault="00BA60CC">
      <w:pPr>
        <w:pStyle w:val="Sprotnaopomba-besedilo"/>
        <w:rPr>
          <w:sz w:val="18"/>
        </w:rPr>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(Ares (2022)1060102).</w:t>
      </w:r>
    </w:p>
  </w:footnote>
  <w:footnote w:id="9">
    <w:p w14:paraId="3604E1B2" w14:textId="77777777" w:rsidR="00BA60CC" w:rsidRPr="007027D4" w:rsidRDefault="00BA60CC" w:rsidP="00EA1A2F">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14:paraId="74532DD9" w14:textId="77777777" w:rsidR="00BA60CC" w:rsidRPr="007027D4" w:rsidRDefault="00BA60CC" w:rsidP="00EA1A2F">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14:paraId="3612C2E9" w14:textId="77777777" w:rsidR="00BA60CC" w:rsidRPr="007027D4" w:rsidRDefault="00BA60CC" w:rsidP="00EA1A2F">
      <w:pPr>
        <w:pStyle w:val="Sprotnaopomba-besedilo"/>
      </w:pPr>
      <w:r>
        <w:rPr>
          <w:rStyle w:val="Sprotnaopomba-sklic"/>
        </w:rPr>
        <w:footnoteRef/>
      </w:r>
      <w:r>
        <w:tab/>
      </w:r>
      <w:r>
        <w:rPr>
          <w:sz w:val="18"/>
        </w:rPr>
        <w:t>Na primer v smislu dosežkov, učinkov, rezultatov itd.</w:t>
      </w:r>
    </w:p>
  </w:footnote>
  <w:footnote w:id="12">
    <w:p w14:paraId="08CC3FD6" w14:textId="77777777" w:rsidR="00BA60CC" w:rsidRPr="006A41E2" w:rsidRDefault="00BA60CC">
      <w:pPr>
        <w:pStyle w:val="Sprotnaopomba-besedilo"/>
      </w:pPr>
      <w:r>
        <w:rPr>
          <w:rStyle w:val="Sprotnaopomba-sklic"/>
        </w:rPr>
        <w:footnoteRef/>
      </w:r>
      <w:r>
        <w:tab/>
      </w:r>
      <w:r>
        <w:rPr>
          <w:sz w:val="18"/>
        </w:rPr>
        <w:t>Kot je navedeno v obvestilu Komisije z dne 14. februarja 2022 (Ares (2022)1060102).</w:t>
      </w:r>
    </w:p>
  </w:footnote>
  <w:footnote w:id="13">
    <w:p w14:paraId="1EB9AA65" w14:textId="77777777" w:rsidR="00BA60CC" w:rsidRPr="006A41E2" w:rsidRDefault="00BA60CC">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14:paraId="53CA9A44" w14:textId="77777777" w:rsidR="00BA60CC" w:rsidRPr="006A41E2" w:rsidRDefault="00BA60CC">
      <w:pPr>
        <w:pStyle w:val="Sprotnaopomba-besedilo"/>
        <w:rPr>
          <w:sz w:val="18"/>
        </w:rPr>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14:paraId="1E8CF7AD" w14:textId="77777777" w:rsidR="00BA60CC" w:rsidRPr="006A41E2" w:rsidRDefault="00BA60CC">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21065A94" w14:textId="77777777" w:rsidR="00BA60CC" w:rsidRPr="002229DC" w:rsidRDefault="00BA60CC">
      <w:pPr>
        <w:pStyle w:val="Sprotnaopomba-besedilo"/>
      </w:pPr>
      <w:r>
        <w:rPr>
          <w:rStyle w:val="Sprotnaopomba-sklic"/>
        </w:rPr>
        <w:footnoteRef/>
      </w:r>
      <w:r>
        <w:tab/>
      </w:r>
      <w:r>
        <w:rPr>
          <w:color w:val="333333"/>
          <w:sz w:val="18"/>
          <w:shd w:val="clear" w:color="auto" w:fill="FFFFFF"/>
        </w:rPr>
        <w:t xml:space="preserve">Uredba (EU) št. 513/2014 Evropskega parlamenta in Sveta z dne 16. aprila 2014 o vzpostavitvi instrumenta za finančno podporo na področju policijskega sodelovanja, preprečevanja kriminala in boja proti njemu ter obvladovanja kriz v okviru Sklada za notranjo varnost in o razveljavitvi Sklepa Sveta 2007/125/PNZ (UL L 150, </w:t>
      </w:r>
      <w:r>
        <w:rPr>
          <w:sz w:val="18"/>
        </w:rPr>
        <w:t>20.5.2014, str. 93).</w:t>
      </w:r>
    </w:p>
  </w:footnote>
  <w:footnote w:id="17">
    <w:p w14:paraId="0BCD921F" w14:textId="77777777" w:rsidR="00BA60CC" w:rsidRPr="00717D45" w:rsidRDefault="00BA60CC" w:rsidP="0059250C">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p w14:paraId="686B6522" w14:textId="77777777" w:rsidR="00BA60CC" w:rsidRPr="00DC1E6A" w:rsidRDefault="00BA60CC">
      <w:pPr>
        <w:pStyle w:val="Sprotnaopomba-besedilo"/>
      </w:pPr>
    </w:p>
  </w:footnote>
  <w:footnote w:id="18">
    <w:p w14:paraId="7B13BA31" w14:textId="77777777" w:rsidR="00BA60CC" w:rsidRPr="007027D4" w:rsidRDefault="00BA60CC" w:rsidP="00397A63">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19">
    <w:p w14:paraId="3EDAD8C5" w14:textId="77777777" w:rsidR="00BA60CC" w:rsidRPr="00DF7BF3" w:rsidRDefault="00BA60CC" w:rsidP="001B7FE6">
      <w:pPr>
        <w:pStyle w:val="Sprotnaopomba-besedilo"/>
        <w:rPr>
          <w:sz w:val="18"/>
        </w:rPr>
      </w:pPr>
      <w:r>
        <w:rPr>
          <w:rStyle w:val="Sprotnaopomba-sklic"/>
        </w:rPr>
        <w:footnoteRef/>
      </w:r>
      <w:r>
        <w:tab/>
      </w:r>
      <w:r>
        <w:rPr>
          <w:sz w:val="18"/>
        </w:rPr>
        <w:t>Uredba (EU) 2019/817 Evropskega parlamenta in Sveta z dne 20. maja 2019 o vzpostavitvi okvira za interoperabilnost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14:paraId="6CBAD7DA" w14:textId="77777777" w:rsidR="00BA60CC" w:rsidRPr="001B7FE6" w:rsidRDefault="00BA60CC" w:rsidP="001B7FE6">
      <w:pPr>
        <w:pStyle w:val="Sprotnaopomba-besedilo"/>
        <w:ind w:firstLine="0"/>
      </w:pPr>
      <w:r>
        <w:rPr>
          <w:sz w:val="18"/>
        </w:rPr>
        <w:t>Uredba (EU) 2019/818 Evropskega parlamenta in Sveta z dne 20. maja 2019 o vzpostavitvi okvira za interoperabilnost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w:t>
      </w:r>
    </w:p>
  </w:footnote>
  <w:footnote w:id="20">
    <w:p w14:paraId="56F7C1AD" w14:textId="77777777" w:rsidR="00BA60CC" w:rsidRPr="006A41E2" w:rsidRDefault="00BA60CC" w:rsidP="006A41E2">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21">
    <w:p w14:paraId="79CDF0DF" w14:textId="77777777" w:rsidR="00BA60CC" w:rsidRPr="006A41E2" w:rsidRDefault="00BA60CC" w:rsidP="006A41E2">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18FC2E32"/>
    <w:multiLevelType w:val="hybridMultilevel"/>
    <w:tmpl w:val="E3E0C6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BEF65CA"/>
    <w:multiLevelType w:val="multilevel"/>
    <w:tmpl w:val="92A8B5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DE637CA"/>
    <w:multiLevelType w:val="multilevel"/>
    <w:tmpl w:val="F31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D4531"/>
    <w:multiLevelType w:val="hybridMultilevel"/>
    <w:tmpl w:val="FE1E4B20"/>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065376"/>
    <w:multiLevelType w:val="hybridMultilevel"/>
    <w:tmpl w:val="314E0B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305601DA"/>
    <w:multiLevelType w:val="hybridMultilevel"/>
    <w:tmpl w:val="3CA881A2"/>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632063"/>
    <w:multiLevelType w:val="multilevel"/>
    <w:tmpl w:val="8024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4DE3684"/>
    <w:multiLevelType w:val="multilevel"/>
    <w:tmpl w:val="4912A61E"/>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A776DBE"/>
    <w:multiLevelType w:val="hybridMultilevel"/>
    <w:tmpl w:val="1918154C"/>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E42E9E"/>
    <w:multiLevelType w:val="hybridMultilevel"/>
    <w:tmpl w:val="300A3482"/>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2E71F2E"/>
    <w:multiLevelType w:val="hybridMultilevel"/>
    <w:tmpl w:val="DBB417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800E2F"/>
    <w:multiLevelType w:val="multilevel"/>
    <w:tmpl w:val="4B6E446C"/>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7C1DE3"/>
    <w:multiLevelType w:val="hybridMultilevel"/>
    <w:tmpl w:val="2932C1B8"/>
    <w:lvl w:ilvl="0" w:tplc="0424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5C042F"/>
    <w:multiLevelType w:val="hybridMultilevel"/>
    <w:tmpl w:val="06A09FF2"/>
    <w:lvl w:ilvl="0" w:tplc="AC20EAD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15:restartNumberingAfterBreak="0">
    <w:nsid w:val="6F1A0F98"/>
    <w:multiLevelType w:val="hybridMultilevel"/>
    <w:tmpl w:val="C014451C"/>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03A2821"/>
    <w:multiLevelType w:val="hybridMultilevel"/>
    <w:tmpl w:val="559E169E"/>
    <w:lvl w:ilvl="0" w:tplc="0424000D">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9" w15:restartNumberingAfterBreak="0">
    <w:nsid w:val="7CD37828"/>
    <w:multiLevelType w:val="hybridMultilevel"/>
    <w:tmpl w:val="DC9CFA00"/>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68801002">
    <w:abstractNumId w:val="7"/>
  </w:num>
  <w:num w:numId="2" w16cid:durableId="908929062">
    <w:abstractNumId w:val="5"/>
  </w:num>
  <w:num w:numId="3" w16cid:durableId="1836413942">
    <w:abstractNumId w:val="4"/>
  </w:num>
  <w:num w:numId="4" w16cid:durableId="802848351">
    <w:abstractNumId w:val="3"/>
  </w:num>
  <w:num w:numId="5" w16cid:durableId="1025525367">
    <w:abstractNumId w:val="6"/>
  </w:num>
  <w:num w:numId="6" w16cid:durableId="259068252">
    <w:abstractNumId w:val="2"/>
  </w:num>
  <w:num w:numId="7" w16cid:durableId="2110808399">
    <w:abstractNumId w:val="1"/>
  </w:num>
  <w:num w:numId="8" w16cid:durableId="1097403216">
    <w:abstractNumId w:val="0"/>
  </w:num>
  <w:num w:numId="9" w16cid:durableId="1473715456">
    <w:abstractNumId w:val="31"/>
    <w:lvlOverride w:ilvl="0">
      <w:startOverride w:val="1"/>
    </w:lvlOverride>
  </w:num>
  <w:num w:numId="10" w16cid:durableId="1271469336">
    <w:abstractNumId w:val="31"/>
    <w:lvlOverride w:ilvl="0">
      <w:startOverride w:val="1"/>
    </w:lvlOverride>
  </w:num>
  <w:num w:numId="11" w16cid:durableId="93671744">
    <w:abstractNumId w:val="31"/>
    <w:lvlOverride w:ilvl="0">
      <w:startOverride w:val="1"/>
    </w:lvlOverride>
  </w:num>
  <w:num w:numId="12" w16cid:durableId="352807800">
    <w:abstractNumId w:val="31"/>
  </w:num>
  <w:num w:numId="13" w16cid:durableId="147744097">
    <w:abstractNumId w:val="19"/>
  </w:num>
  <w:num w:numId="14" w16cid:durableId="1399129188">
    <w:abstractNumId w:val="35"/>
  </w:num>
  <w:num w:numId="15" w16cid:durableId="1926650021">
    <w:abstractNumId w:val="16"/>
  </w:num>
  <w:num w:numId="16" w16cid:durableId="1780027912">
    <w:abstractNumId w:val="20"/>
  </w:num>
  <w:num w:numId="17" w16cid:durableId="1053390703">
    <w:abstractNumId w:val="21"/>
  </w:num>
  <w:num w:numId="18" w16cid:durableId="389353683">
    <w:abstractNumId w:val="13"/>
  </w:num>
  <w:num w:numId="19" w16cid:durableId="220943757">
    <w:abstractNumId w:val="32"/>
  </w:num>
  <w:num w:numId="20" w16cid:durableId="444038659">
    <w:abstractNumId w:val="9"/>
  </w:num>
  <w:num w:numId="21" w16cid:durableId="504438095">
    <w:abstractNumId w:val="23"/>
  </w:num>
  <w:num w:numId="22" w16cid:durableId="346256393">
    <w:abstractNumId w:val="29"/>
  </w:num>
  <w:num w:numId="23" w16cid:durableId="1601332593">
    <w:abstractNumId w:val="30"/>
  </w:num>
  <w:num w:numId="24" w16cid:durableId="1073353956">
    <w:abstractNumId w:val="15"/>
  </w:num>
  <w:num w:numId="25" w16cid:durableId="1339583069">
    <w:abstractNumId w:val="28"/>
  </w:num>
  <w:num w:numId="26" w16cid:durableId="305862747">
    <w:abstractNumId w:val="38"/>
  </w:num>
  <w:num w:numId="27" w16cid:durableId="613172904">
    <w:abstractNumId w:val="37"/>
  </w:num>
  <w:num w:numId="28" w16cid:durableId="1635869396">
    <w:abstractNumId w:val="27"/>
  </w:num>
  <w:num w:numId="29" w16cid:durableId="1485661206">
    <w:abstractNumId w:val="34"/>
  </w:num>
  <w:num w:numId="30" w16cid:durableId="1671061725">
    <w:abstractNumId w:val="11"/>
  </w:num>
  <w:num w:numId="31" w16cid:durableId="1458522808">
    <w:abstractNumId w:val="18"/>
  </w:num>
  <w:num w:numId="32" w16cid:durableId="1670912217">
    <w:abstractNumId w:val="39"/>
  </w:num>
  <w:num w:numId="33" w16cid:durableId="958954588">
    <w:abstractNumId w:val="17"/>
  </w:num>
  <w:num w:numId="34" w16cid:durableId="682246498">
    <w:abstractNumId w:val="25"/>
  </w:num>
  <w:num w:numId="35" w16cid:durableId="1681154156">
    <w:abstractNumId w:val="36"/>
  </w:num>
  <w:num w:numId="36" w16cid:durableId="1341086049">
    <w:abstractNumId w:val="33"/>
  </w:num>
  <w:num w:numId="37" w16cid:durableId="156457663">
    <w:abstractNumId w:val="14"/>
  </w:num>
  <w:num w:numId="38" w16cid:durableId="1781148451">
    <w:abstractNumId w:val="24"/>
  </w:num>
  <w:num w:numId="39" w16cid:durableId="436096872">
    <w:abstractNumId w:val="10"/>
  </w:num>
  <w:num w:numId="40" w16cid:durableId="891231487">
    <w:abstractNumId w:val="22"/>
  </w:num>
  <w:num w:numId="41" w16cid:durableId="840389383">
    <w:abstractNumId w:val="12"/>
  </w:num>
  <w:num w:numId="42" w16cid:durableId="1990787542">
    <w:abstractNumId w:val="8"/>
  </w:num>
  <w:num w:numId="43" w16cid:durableId="96542826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defaultTabStop w:val="720"/>
  <w:hyphenationZone w:val="425"/>
  <w:characterSpacingControl w:val="doNotCompress"/>
  <w:hdrShapeDefaults>
    <o:shapedefaults v:ext="edit" spidmax="9830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QCDateTime" w:val="2023-01-17 08:32: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4E7F4CB9-02D7-408F-9D94-BF029F1A7B59"/>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notranjo varnost za programsko obdobje 2021\u8211?2027 v skladu z Uredbo (EU) 2021/1149"/>
    <w:docVar w:name="LW_OBJETACTEPRINCIPAL.CP" w:val="o določitvi predloge za letna poročila o smotrnosti Sklada za notranjo varnost za programsko obdobje 2021–2027 v skladu z Uredbo (EU) 2021/1149"/>
    <w:docVar w:name="LW_PART_NBR" w:val="1"/>
    <w:docVar w:name="LW_PART_NBR_TOTAL" w:val="1"/>
    <w:docVar w:name="LW_REF.INST.NEW" w:val="C"/>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71B9"/>
    <w:rsid w:val="000133CF"/>
    <w:rsid w:val="00014D7F"/>
    <w:rsid w:val="00014F7C"/>
    <w:rsid w:val="0001528B"/>
    <w:rsid w:val="0002060E"/>
    <w:rsid w:val="000213B5"/>
    <w:rsid w:val="00022517"/>
    <w:rsid w:val="00023594"/>
    <w:rsid w:val="00027D06"/>
    <w:rsid w:val="00033623"/>
    <w:rsid w:val="00037F0B"/>
    <w:rsid w:val="00040782"/>
    <w:rsid w:val="00046462"/>
    <w:rsid w:val="000503AD"/>
    <w:rsid w:val="0005122B"/>
    <w:rsid w:val="00052F71"/>
    <w:rsid w:val="00053829"/>
    <w:rsid w:val="0006040C"/>
    <w:rsid w:val="0006259E"/>
    <w:rsid w:val="00067FE7"/>
    <w:rsid w:val="00070021"/>
    <w:rsid w:val="00072A8E"/>
    <w:rsid w:val="00075EDB"/>
    <w:rsid w:val="00076F32"/>
    <w:rsid w:val="00081CCF"/>
    <w:rsid w:val="000830EF"/>
    <w:rsid w:val="00083808"/>
    <w:rsid w:val="000855A4"/>
    <w:rsid w:val="00085A16"/>
    <w:rsid w:val="00085D54"/>
    <w:rsid w:val="00086CDA"/>
    <w:rsid w:val="00087573"/>
    <w:rsid w:val="000903CC"/>
    <w:rsid w:val="0009333F"/>
    <w:rsid w:val="00093D5B"/>
    <w:rsid w:val="000960DA"/>
    <w:rsid w:val="000A05A3"/>
    <w:rsid w:val="000A0779"/>
    <w:rsid w:val="000A0C53"/>
    <w:rsid w:val="000A122F"/>
    <w:rsid w:val="000A1C8F"/>
    <w:rsid w:val="000A5C65"/>
    <w:rsid w:val="000B21D4"/>
    <w:rsid w:val="000B437A"/>
    <w:rsid w:val="000B4F3E"/>
    <w:rsid w:val="000B6475"/>
    <w:rsid w:val="000C122F"/>
    <w:rsid w:val="000C4CC6"/>
    <w:rsid w:val="000C7F85"/>
    <w:rsid w:val="000D06B6"/>
    <w:rsid w:val="000D1422"/>
    <w:rsid w:val="000D1693"/>
    <w:rsid w:val="000D1796"/>
    <w:rsid w:val="000D3230"/>
    <w:rsid w:val="000D44D0"/>
    <w:rsid w:val="000D5E2F"/>
    <w:rsid w:val="000E3E15"/>
    <w:rsid w:val="000E45B7"/>
    <w:rsid w:val="000F1C58"/>
    <w:rsid w:val="000F2927"/>
    <w:rsid w:val="00101769"/>
    <w:rsid w:val="00104E34"/>
    <w:rsid w:val="00106AB6"/>
    <w:rsid w:val="0011011B"/>
    <w:rsid w:val="001116E0"/>
    <w:rsid w:val="00111D07"/>
    <w:rsid w:val="00112234"/>
    <w:rsid w:val="001136FF"/>
    <w:rsid w:val="00114605"/>
    <w:rsid w:val="00114770"/>
    <w:rsid w:val="0011744D"/>
    <w:rsid w:val="00121042"/>
    <w:rsid w:val="00122018"/>
    <w:rsid w:val="00122633"/>
    <w:rsid w:val="00127744"/>
    <w:rsid w:val="00133868"/>
    <w:rsid w:val="00133AC2"/>
    <w:rsid w:val="001341CC"/>
    <w:rsid w:val="00134355"/>
    <w:rsid w:val="00141E24"/>
    <w:rsid w:val="00144C4C"/>
    <w:rsid w:val="001507E7"/>
    <w:rsid w:val="00152894"/>
    <w:rsid w:val="00153209"/>
    <w:rsid w:val="0015448D"/>
    <w:rsid w:val="00154541"/>
    <w:rsid w:val="00155DF9"/>
    <w:rsid w:val="0016130D"/>
    <w:rsid w:val="0016189A"/>
    <w:rsid w:val="00161A30"/>
    <w:rsid w:val="0016289A"/>
    <w:rsid w:val="00164CDE"/>
    <w:rsid w:val="00165F97"/>
    <w:rsid w:val="001668BA"/>
    <w:rsid w:val="00166EF6"/>
    <w:rsid w:val="00171EE1"/>
    <w:rsid w:val="00173637"/>
    <w:rsid w:val="0017755A"/>
    <w:rsid w:val="00181A3F"/>
    <w:rsid w:val="00182E37"/>
    <w:rsid w:val="0018473B"/>
    <w:rsid w:val="00184CCF"/>
    <w:rsid w:val="00185BE4"/>
    <w:rsid w:val="0019152D"/>
    <w:rsid w:val="00194069"/>
    <w:rsid w:val="001A1F71"/>
    <w:rsid w:val="001A292A"/>
    <w:rsid w:val="001A2CE3"/>
    <w:rsid w:val="001A4BD7"/>
    <w:rsid w:val="001A55A0"/>
    <w:rsid w:val="001A7314"/>
    <w:rsid w:val="001B037F"/>
    <w:rsid w:val="001B37E9"/>
    <w:rsid w:val="001B5FCC"/>
    <w:rsid w:val="001B7C91"/>
    <w:rsid w:val="001B7D58"/>
    <w:rsid w:val="001B7FE6"/>
    <w:rsid w:val="001C0807"/>
    <w:rsid w:val="001C3B12"/>
    <w:rsid w:val="001C41E9"/>
    <w:rsid w:val="001C4994"/>
    <w:rsid w:val="001C60A8"/>
    <w:rsid w:val="001C7802"/>
    <w:rsid w:val="001D0834"/>
    <w:rsid w:val="001D175D"/>
    <w:rsid w:val="001D2E88"/>
    <w:rsid w:val="001D7FB0"/>
    <w:rsid w:val="001E0672"/>
    <w:rsid w:val="001E1588"/>
    <w:rsid w:val="001E3E4B"/>
    <w:rsid w:val="001E543C"/>
    <w:rsid w:val="001E6380"/>
    <w:rsid w:val="001E63B6"/>
    <w:rsid w:val="001F47FD"/>
    <w:rsid w:val="001F71DC"/>
    <w:rsid w:val="001F7F00"/>
    <w:rsid w:val="00200C0C"/>
    <w:rsid w:val="00202C38"/>
    <w:rsid w:val="0020500B"/>
    <w:rsid w:val="00210C2E"/>
    <w:rsid w:val="00213BC9"/>
    <w:rsid w:val="00216D79"/>
    <w:rsid w:val="002222BA"/>
    <w:rsid w:val="002226ED"/>
    <w:rsid w:val="002229DC"/>
    <w:rsid w:val="00227FE7"/>
    <w:rsid w:val="00230FE3"/>
    <w:rsid w:val="00231338"/>
    <w:rsid w:val="00231B94"/>
    <w:rsid w:val="002440BE"/>
    <w:rsid w:val="00244632"/>
    <w:rsid w:val="00244A46"/>
    <w:rsid w:val="0024526D"/>
    <w:rsid w:val="00246967"/>
    <w:rsid w:val="00251735"/>
    <w:rsid w:val="00251A39"/>
    <w:rsid w:val="00253F56"/>
    <w:rsid w:val="00254698"/>
    <w:rsid w:val="00254824"/>
    <w:rsid w:val="00254B7E"/>
    <w:rsid w:val="002576F5"/>
    <w:rsid w:val="00260785"/>
    <w:rsid w:val="002672E8"/>
    <w:rsid w:val="00267706"/>
    <w:rsid w:val="00267CF2"/>
    <w:rsid w:val="00275BA0"/>
    <w:rsid w:val="00277AF0"/>
    <w:rsid w:val="00277F78"/>
    <w:rsid w:val="00284373"/>
    <w:rsid w:val="00284D38"/>
    <w:rsid w:val="0028797D"/>
    <w:rsid w:val="00291207"/>
    <w:rsid w:val="00296314"/>
    <w:rsid w:val="002A1424"/>
    <w:rsid w:val="002A48C2"/>
    <w:rsid w:val="002A4FD7"/>
    <w:rsid w:val="002A585F"/>
    <w:rsid w:val="002A6B7D"/>
    <w:rsid w:val="002A6CBE"/>
    <w:rsid w:val="002B4947"/>
    <w:rsid w:val="002C3726"/>
    <w:rsid w:val="002C3EC6"/>
    <w:rsid w:val="002C4A46"/>
    <w:rsid w:val="002C4C72"/>
    <w:rsid w:val="002C5FDF"/>
    <w:rsid w:val="002C60F2"/>
    <w:rsid w:val="002D100D"/>
    <w:rsid w:val="002D6690"/>
    <w:rsid w:val="002E08DC"/>
    <w:rsid w:val="002E13C5"/>
    <w:rsid w:val="002E2230"/>
    <w:rsid w:val="002E2DD7"/>
    <w:rsid w:val="002E355D"/>
    <w:rsid w:val="002E3DC3"/>
    <w:rsid w:val="002E7B4E"/>
    <w:rsid w:val="002F1600"/>
    <w:rsid w:val="002F1935"/>
    <w:rsid w:val="002F2E39"/>
    <w:rsid w:val="002F390E"/>
    <w:rsid w:val="002F5106"/>
    <w:rsid w:val="002F6FFF"/>
    <w:rsid w:val="003003B7"/>
    <w:rsid w:val="00300966"/>
    <w:rsid w:val="003021FB"/>
    <w:rsid w:val="00305958"/>
    <w:rsid w:val="00307299"/>
    <w:rsid w:val="00310023"/>
    <w:rsid w:val="003128E7"/>
    <w:rsid w:val="00315404"/>
    <w:rsid w:val="003154CC"/>
    <w:rsid w:val="0031754E"/>
    <w:rsid w:val="00321BDF"/>
    <w:rsid w:val="0032373D"/>
    <w:rsid w:val="00323AA1"/>
    <w:rsid w:val="00324387"/>
    <w:rsid w:val="00324620"/>
    <w:rsid w:val="003252F1"/>
    <w:rsid w:val="00327883"/>
    <w:rsid w:val="00330177"/>
    <w:rsid w:val="00332A4B"/>
    <w:rsid w:val="003344FC"/>
    <w:rsid w:val="00335D4F"/>
    <w:rsid w:val="00336496"/>
    <w:rsid w:val="00336B99"/>
    <w:rsid w:val="00336E34"/>
    <w:rsid w:val="003471A8"/>
    <w:rsid w:val="00347EE8"/>
    <w:rsid w:val="003500C4"/>
    <w:rsid w:val="0035042D"/>
    <w:rsid w:val="0035085A"/>
    <w:rsid w:val="00351C18"/>
    <w:rsid w:val="00352119"/>
    <w:rsid w:val="0035484F"/>
    <w:rsid w:val="003635E5"/>
    <w:rsid w:val="00363E48"/>
    <w:rsid w:val="003651F7"/>
    <w:rsid w:val="003677FE"/>
    <w:rsid w:val="00371B06"/>
    <w:rsid w:val="0037290B"/>
    <w:rsid w:val="00372911"/>
    <w:rsid w:val="00380C67"/>
    <w:rsid w:val="003821DC"/>
    <w:rsid w:val="00385492"/>
    <w:rsid w:val="00385A77"/>
    <w:rsid w:val="003923CA"/>
    <w:rsid w:val="003945F3"/>
    <w:rsid w:val="00395B8F"/>
    <w:rsid w:val="00397A63"/>
    <w:rsid w:val="003A0351"/>
    <w:rsid w:val="003A1375"/>
    <w:rsid w:val="003A1616"/>
    <w:rsid w:val="003A2644"/>
    <w:rsid w:val="003A30A1"/>
    <w:rsid w:val="003A6A89"/>
    <w:rsid w:val="003A7AE7"/>
    <w:rsid w:val="003B03C5"/>
    <w:rsid w:val="003B1061"/>
    <w:rsid w:val="003B159D"/>
    <w:rsid w:val="003B217D"/>
    <w:rsid w:val="003B616F"/>
    <w:rsid w:val="003C2BA4"/>
    <w:rsid w:val="003C36A7"/>
    <w:rsid w:val="003C454A"/>
    <w:rsid w:val="003C647E"/>
    <w:rsid w:val="003D38C3"/>
    <w:rsid w:val="003D3ACB"/>
    <w:rsid w:val="003D6574"/>
    <w:rsid w:val="003D73B3"/>
    <w:rsid w:val="003D7A01"/>
    <w:rsid w:val="003E0192"/>
    <w:rsid w:val="003E21DB"/>
    <w:rsid w:val="003E338B"/>
    <w:rsid w:val="003E36B0"/>
    <w:rsid w:val="003E4922"/>
    <w:rsid w:val="003E49B2"/>
    <w:rsid w:val="003E7D66"/>
    <w:rsid w:val="003E7F9C"/>
    <w:rsid w:val="003F0380"/>
    <w:rsid w:val="003F695F"/>
    <w:rsid w:val="00405D43"/>
    <w:rsid w:val="00405FF7"/>
    <w:rsid w:val="00410DEC"/>
    <w:rsid w:val="004119DA"/>
    <w:rsid w:val="0041224B"/>
    <w:rsid w:val="0041450D"/>
    <w:rsid w:val="004177AF"/>
    <w:rsid w:val="004200F4"/>
    <w:rsid w:val="004217A7"/>
    <w:rsid w:val="00423120"/>
    <w:rsid w:val="004233DC"/>
    <w:rsid w:val="00425B0B"/>
    <w:rsid w:val="00427C61"/>
    <w:rsid w:val="00431B4C"/>
    <w:rsid w:val="00434335"/>
    <w:rsid w:val="004348B1"/>
    <w:rsid w:val="00437336"/>
    <w:rsid w:val="004376D7"/>
    <w:rsid w:val="00441E23"/>
    <w:rsid w:val="0044327D"/>
    <w:rsid w:val="004432DB"/>
    <w:rsid w:val="00445094"/>
    <w:rsid w:val="00445F00"/>
    <w:rsid w:val="00446133"/>
    <w:rsid w:val="00446442"/>
    <w:rsid w:val="0044700C"/>
    <w:rsid w:val="00447D00"/>
    <w:rsid w:val="0045095F"/>
    <w:rsid w:val="0045468C"/>
    <w:rsid w:val="004569F4"/>
    <w:rsid w:val="004630E2"/>
    <w:rsid w:val="004708BF"/>
    <w:rsid w:val="00475780"/>
    <w:rsid w:val="00475B8F"/>
    <w:rsid w:val="00481574"/>
    <w:rsid w:val="00481609"/>
    <w:rsid w:val="00486913"/>
    <w:rsid w:val="00490445"/>
    <w:rsid w:val="00491F42"/>
    <w:rsid w:val="00496231"/>
    <w:rsid w:val="0049785B"/>
    <w:rsid w:val="004A0067"/>
    <w:rsid w:val="004A30F9"/>
    <w:rsid w:val="004B0791"/>
    <w:rsid w:val="004B3C06"/>
    <w:rsid w:val="004B3EBD"/>
    <w:rsid w:val="004B5C96"/>
    <w:rsid w:val="004B6B88"/>
    <w:rsid w:val="004C0697"/>
    <w:rsid w:val="004C107A"/>
    <w:rsid w:val="004C3F46"/>
    <w:rsid w:val="004C4869"/>
    <w:rsid w:val="004C4F38"/>
    <w:rsid w:val="004D06E4"/>
    <w:rsid w:val="004D375D"/>
    <w:rsid w:val="004D43D9"/>
    <w:rsid w:val="004D6609"/>
    <w:rsid w:val="004D734C"/>
    <w:rsid w:val="004D756F"/>
    <w:rsid w:val="004E076D"/>
    <w:rsid w:val="004E137F"/>
    <w:rsid w:val="004E51B6"/>
    <w:rsid w:val="004F00F8"/>
    <w:rsid w:val="004F1E95"/>
    <w:rsid w:val="004F5B50"/>
    <w:rsid w:val="004F5C62"/>
    <w:rsid w:val="004F5C72"/>
    <w:rsid w:val="004F5E71"/>
    <w:rsid w:val="005000D5"/>
    <w:rsid w:val="00502A0C"/>
    <w:rsid w:val="005030AE"/>
    <w:rsid w:val="005056A0"/>
    <w:rsid w:val="00507489"/>
    <w:rsid w:val="00507E74"/>
    <w:rsid w:val="0051016F"/>
    <w:rsid w:val="00511D67"/>
    <w:rsid w:val="00511E11"/>
    <w:rsid w:val="005123E8"/>
    <w:rsid w:val="00514D1B"/>
    <w:rsid w:val="00515026"/>
    <w:rsid w:val="0051587C"/>
    <w:rsid w:val="005202F1"/>
    <w:rsid w:val="00520A2F"/>
    <w:rsid w:val="00522F42"/>
    <w:rsid w:val="00524B9B"/>
    <w:rsid w:val="0052564C"/>
    <w:rsid w:val="00532177"/>
    <w:rsid w:val="00535AC2"/>
    <w:rsid w:val="005365AB"/>
    <w:rsid w:val="00537146"/>
    <w:rsid w:val="00544E72"/>
    <w:rsid w:val="0054557A"/>
    <w:rsid w:val="00545857"/>
    <w:rsid w:val="00552A8B"/>
    <w:rsid w:val="005533B0"/>
    <w:rsid w:val="0055374C"/>
    <w:rsid w:val="00553F3F"/>
    <w:rsid w:val="00554269"/>
    <w:rsid w:val="00554DAE"/>
    <w:rsid w:val="00555224"/>
    <w:rsid w:val="00555916"/>
    <w:rsid w:val="00561656"/>
    <w:rsid w:val="00561E3E"/>
    <w:rsid w:val="00562107"/>
    <w:rsid w:val="0056447F"/>
    <w:rsid w:val="00570D7A"/>
    <w:rsid w:val="00571255"/>
    <w:rsid w:val="005712C1"/>
    <w:rsid w:val="00571CEB"/>
    <w:rsid w:val="00581B1B"/>
    <w:rsid w:val="00582244"/>
    <w:rsid w:val="005856EF"/>
    <w:rsid w:val="00586346"/>
    <w:rsid w:val="00586750"/>
    <w:rsid w:val="005873E2"/>
    <w:rsid w:val="00590691"/>
    <w:rsid w:val="00591AB0"/>
    <w:rsid w:val="0059245E"/>
    <w:rsid w:val="0059250C"/>
    <w:rsid w:val="005925E0"/>
    <w:rsid w:val="00592D93"/>
    <w:rsid w:val="00593414"/>
    <w:rsid w:val="00594CD3"/>
    <w:rsid w:val="005973C0"/>
    <w:rsid w:val="005A2396"/>
    <w:rsid w:val="005A77D9"/>
    <w:rsid w:val="005B5070"/>
    <w:rsid w:val="005B5ADD"/>
    <w:rsid w:val="005B69E9"/>
    <w:rsid w:val="005C2072"/>
    <w:rsid w:val="005C4388"/>
    <w:rsid w:val="005C47C3"/>
    <w:rsid w:val="005C4BC9"/>
    <w:rsid w:val="005C6E87"/>
    <w:rsid w:val="005D0C34"/>
    <w:rsid w:val="005E2FB4"/>
    <w:rsid w:val="005E53D9"/>
    <w:rsid w:val="005E56E1"/>
    <w:rsid w:val="005E7CEA"/>
    <w:rsid w:val="005F08B9"/>
    <w:rsid w:val="005F3FCA"/>
    <w:rsid w:val="005F7766"/>
    <w:rsid w:val="0060199D"/>
    <w:rsid w:val="006019BC"/>
    <w:rsid w:val="006046FF"/>
    <w:rsid w:val="0060652B"/>
    <w:rsid w:val="00610233"/>
    <w:rsid w:val="006112B4"/>
    <w:rsid w:val="0061205C"/>
    <w:rsid w:val="006129DF"/>
    <w:rsid w:val="00614069"/>
    <w:rsid w:val="00614B4A"/>
    <w:rsid w:val="00616C0E"/>
    <w:rsid w:val="00620009"/>
    <w:rsid w:val="006219CA"/>
    <w:rsid w:val="00621FCD"/>
    <w:rsid w:val="00625941"/>
    <w:rsid w:val="00630A75"/>
    <w:rsid w:val="00635B24"/>
    <w:rsid w:val="00636FE6"/>
    <w:rsid w:val="00651C83"/>
    <w:rsid w:val="00652D07"/>
    <w:rsid w:val="006567CB"/>
    <w:rsid w:val="00656EC7"/>
    <w:rsid w:val="00657866"/>
    <w:rsid w:val="00657FBD"/>
    <w:rsid w:val="006639D8"/>
    <w:rsid w:val="0066681E"/>
    <w:rsid w:val="0067025E"/>
    <w:rsid w:val="00676C68"/>
    <w:rsid w:val="006772AB"/>
    <w:rsid w:val="00683889"/>
    <w:rsid w:val="00683A41"/>
    <w:rsid w:val="00683DBB"/>
    <w:rsid w:val="006868F3"/>
    <w:rsid w:val="006966C2"/>
    <w:rsid w:val="006968E5"/>
    <w:rsid w:val="0069792E"/>
    <w:rsid w:val="006A1F00"/>
    <w:rsid w:val="006A41E2"/>
    <w:rsid w:val="006A4B05"/>
    <w:rsid w:val="006A5041"/>
    <w:rsid w:val="006B1C84"/>
    <w:rsid w:val="006B2F3E"/>
    <w:rsid w:val="006B5B67"/>
    <w:rsid w:val="006C0D1D"/>
    <w:rsid w:val="006C2B41"/>
    <w:rsid w:val="006C3120"/>
    <w:rsid w:val="006C5C3B"/>
    <w:rsid w:val="006D05D8"/>
    <w:rsid w:val="006D1A9C"/>
    <w:rsid w:val="006D1AD0"/>
    <w:rsid w:val="006D7F5F"/>
    <w:rsid w:val="006E268C"/>
    <w:rsid w:val="006E26ED"/>
    <w:rsid w:val="006E2BC6"/>
    <w:rsid w:val="006E60F4"/>
    <w:rsid w:val="006F1357"/>
    <w:rsid w:val="006F1E13"/>
    <w:rsid w:val="006F3C12"/>
    <w:rsid w:val="006F5ACE"/>
    <w:rsid w:val="006F64DA"/>
    <w:rsid w:val="006F66E7"/>
    <w:rsid w:val="0070055A"/>
    <w:rsid w:val="007027D4"/>
    <w:rsid w:val="00703E3E"/>
    <w:rsid w:val="00704A78"/>
    <w:rsid w:val="00704C06"/>
    <w:rsid w:val="00712482"/>
    <w:rsid w:val="00714C40"/>
    <w:rsid w:val="0071685A"/>
    <w:rsid w:val="0072431D"/>
    <w:rsid w:val="0072518C"/>
    <w:rsid w:val="007261C3"/>
    <w:rsid w:val="00726902"/>
    <w:rsid w:val="007273E8"/>
    <w:rsid w:val="00727C29"/>
    <w:rsid w:val="00733F84"/>
    <w:rsid w:val="00734F22"/>
    <w:rsid w:val="00737ACB"/>
    <w:rsid w:val="0074216E"/>
    <w:rsid w:val="00744C6A"/>
    <w:rsid w:val="007478DA"/>
    <w:rsid w:val="00747C96"/>
    <w:rsid w:val="007528AC"/>
    <w:rsid w:val="00753C85"/>
    <w:rsid w:val="0075603E"/>
    <w:rsid w:val="00760C2D"/>
    <w:rsid w:val="00761619"/>
    <w:rsid w:val="00762258"/>
    <w:rsid w:val="00765084"/>
    <w:rsid w:val="00765415"/>
    <w:rsid w:val="00766BB4"/>
    <w:rsid w:val="00767C9E"/>
    <w:rsid w:val="00771CB5"/>
    <w:rsid w:val="00773B90"/>
    <w:rsid w:val="007752B0"/>
    <w:rsid w:val="007753CD"/>
    <w:rsid w:val="0077621B"/>
    <w:rsid w:val="007772AF"/>
    <w:rsid w:val="0078083C"/>
    <w:rsid w:val="0078415E"/>
    <w:rsid w:val="007850C9"/>
    <w:rsid w:val="00785A92"/>
    <w:rsid w:val="00790EC9"/>
    <w:rsid w:val="00790F74"/>
    <w:rsid w:val="007951A8"/>
    <w:rsid w:val="00795261"/>
    <w:rsid w:val="00796FC5"/>
    <w:rsid w:val="00797712"/>
    <w:rsid w:val="007979CC"/>
    <w:rsid w:val="00797E15"/>
    <w:rsid w:val="007A108F"/>
    <w:rsid w:val="007A1C6C"/>
    <w:rsid w:val="007A386C"/>
    <w:rsid w:val="007A4D89"/>
    <w:rsid w:val="007A5907"/>
    <w:rsid w:val="007A7C14"/>
    <w:rsid w:val="007A7FB7"/>
    <w:rsid w:val="007B05EF"/>
    <w:rsid w:val="007B2434"/>
    <w:rsid w:val="007B38A8"/>
    <w:rsid w:val="007C13F3"/>
    <w:rsid w:val="007C3551"/>
    <w:rsid w:val="007C7AAC"/>
    <w:rsid w:val="007D0D22"/>
    <w:rsid w:val="007D11F7"/>
    <w:rsid w:val="007D12E5"/>
    <w:rsid w:val="007D1ECB"/>
    <w:rsid w:val="007D5BDD"/>
    <w:rsid w:val="007E1477"/>
    <w:rsid w:val="007E59B4"/>
    <w:rsid w:val="007F17A7"/>
    <w:rsid w:val="007F1A68"/>
    <w:rsid w:val="007F25CB"/>
    <w:rsid w:val="007F6345"/>
    <w:rsid w:val="007F6FA4"/>
    <w:rsid w:val="008008F2"/>
    <w:rsid w:val="008023CE"/>
    <w:rsid w:val="00803111"/>
    <w:rsid w:val="00804283"/>
    <w:rsid w:val="00804F60"/>
    <w:rsid w:val="008109C1"/>
    <w:rsid w:val="008116E1"/>
    <w:rsid w:val="00821BD4"/>
    <w:rsid w:val="00824438"/>
    <w:rsid w:val="00825120"/>
    <w:rsid w:val="00826097"/>
    <w:rsid w:val="00830E61"/>
    <w:rsid w:val="00831111"/>
    <w:rsid w:val="0083180A"/>
    <w:rsid w:val="00832BD0"/>
    <w:rsid w:val="00832C25"/>
    <w:rsid w:val="00832F50"/>
    <w:rsid w:val="00836645"/>
    <w:rsid w:val="008367EE"/>
    <w:rsid w:val="00841C14"/>
    <w:rsid w:val="0084662F"/>
    <w:rsid w:val="00850CA4"/>
    <w:rsid w:val="00850D78"/>
    <w:rsid w:val="0085163F"/>
    <w:rsid w:val="0085594D"/>
    <w:rsid w:val="00857C22"/>
    <w:rsid w:val="00860CF3"/>
    <w:rsid w:val="008671BE"/>
    <w:rsid w:val="00870992"/>
    <w:rsid w:val="0087148B"/>
    <w:rsid w:val="0087260E"/>
    <w:rsid w:val="00873D9C"/>
    <w:rsid w:val="0087657F"/>
    <w:rsid w:val="0087780F"/>
    <w:rsid w:val="00877F16"/>
    <w:rsid w:val="00882C22"/>
    <w:rsid w:val="00882D03"/>
    <w:rsid w:val="008851CB"/>
    <w:rsid w:val="00885F00"/>
    <w:rsid w:val="00886253"/>
    <w:rsid w:val="00890635"/>
    <w:rsid w:val="008908D4"/>
    <w:rsid w:val="0089207F"/>
    <w:rsid w:val="00892097"/>
    <w:rsid w:val="00892376"/>
    <w:rsid w:val="00893A65"/>
    <w:rsid w:val="0089422B"/>
    <w:rsid w:val="00894A2F"/>
    <w:rsid w:val="008A02D6"/>
    <w:rsid w:val="008A031C"/>
    <w:rsid w:val="008A19C4"/>
    <w:rsid w:val="008A4260"/>
    <w:rsid w:val="008A4885"/>
    <w:rsid w:val="008A5317"/>
    <w:rsid w:val="008B1A84"/>
    <w:rsid w:val="008B3427"/>
    <w:rsid w:val="008C1861"/>
    <w:rsid w:val="008C3CF6"/>
    <w:rsid w:val="008C3D9E"/>
    <w:rsid w:val="008C40DD"/>
    <w:rsid w:val="008D1226"/>
    <w:rsid w:val="008D327B"/>
    <w:rsid w:val="008D3763"/>
    <w:rsid w:val="008D3A5B"/>
    <w:rsid w:val="008E0D24"/>
    <w:rsid w:val="008E1CAB"/>
    <w:rsid w:val="008E2593"/>
    <w:rsid w:val="008E365B"/>
    <w:rsid w:val="008E488A"/>
    <w:rsid w:val="008F060D"/>
    <w:rsid w:val="008F15E7"/>
    <w:rsid w:val="008F1DB4"/>
    <w:rsid w:val="008F1FFD"/>
    <w:rsid w:val="008F4E6A"/>
    <w:rsid w:val="008F5483"/>
    <w:rsid w:val="009002E8"/>
    <w:rsid w:val="00900D70"/>
    <w:rsid w:val="00902787"/>
    <w:rsid w:val="00904D48"/>
    <w:rsid w:val="009054FD"/>
    <w:rsid w:val="009057F2"/>
    <w:rsid w:val="00906ED6"/>
    <w:rsid w:val="00912C19"/>
    <w:rsid w:val="00912E10"/>
    <w:rsid w:val="00914B22"/>
    <w:rsid w:val="00915D9B"/>
    <w:rsid w:val="00916E91"/>
    <w:rsid w:val="009170CA"/>
    <w:rsid w:val="00920FB5"/>
    <w:rsid w:val="00921466"/>
    <w:rsid w:val="0092717A"/>
    <w:rsid w:val="00930399"/>
    <w:rsid w:val="00930AD9"/>
    <w:rsid w:val="009326C6"/>
    <w:rsid w:val="00933FC4"/>
    <w:rsid w:val="00934725"/>
    <w:rsid w:val="009362A9"/>
    <w:rsid w:val="0093761D"/>
    <w:rsid w:val="00940E4A"/>
    <w:rsid w:val="00942AE8"/>
    <w:rsid w:val="00944AA6"/>
    <w:rsid w:val="00945268"/>
    <w:rsid w:val="009462A4"/>
    <w:rsid w:val="00947F13"/>
    <w:rsid w:val="00953A24"/>
    <w:rsid w:val="00957881"/>
    <w:rsid w:val="00961079"/>
    <w:rsid w:val="0096119A"/>
    <w:rsid w:val="009668A9"/>
    <w:rsid w:val="00967035"/>
    <w:rsid w:val="00967556"/>
    <w:rsid w:val="00971D40"/>
    <w:rsid w:val="00971D4B"/>
    <w:rsid w:val="00974DA7"/>
    <w:rsid w:val="009769BB"/>
    <w:rsid w:val="009823CE"/>
    <w:rsid w:val="00983339"/>
    <w:rsid w:val="00984F50"/>
    <w:rsid w:val="00987FE9"/>
    <w:rsid w:val="0099060C"/>
    <w:rsid w:val="009939C3"/>
    <w:rsid w:val="0099586C"/>
    <w:rsid w:val="00995D05"/>
    <w:rsid w:val="00996CFF"/>
    <w:rsid w:val="009A48FE"/>
    <w:rsid w:val="009B07C6"/>
    <w:rsid w:val="009B178A"/>
    <w:rsid w:val="009B3447"/>
    <w:rsid w:val="009B36A7"/>
    <w:rsid w:val="009B4FF0"/>
    <w:rsid w:val="009B595F"/>
    <w:rsid w:val="009C28D6"/>
    <w:rsid w:val="009C707F"/>
    <w:rsid w:val="009D21C4"/>
    <w:rsid w:val="009D24BE"/>
    <w:rsid w:val="009D24FD"/>
    <w:rsid w:val="009D2D15"/>
    <w:rsid w:val="009D3791"/>
    <w:rsid w:val="009D3A7D"/>
    <w:rsid w:val="009D4C8B"/>
    <w:rsid w:val="009D5538"/>
    <w:rsid w:val="009D7228"/>
    <w:rsid w:val="009E536D"/>
    <w:rsid w:val="009E5C5D"/>
    <w:rsid w:val="009E75AB"/>
    <w:rsid w:val="009F0BD9"/>
    <w:rsid w:val="009F1CA0"/>
    <w:rsid w:val="009F405C"/>
    <w:rsid w:val="009F716C"/>
    <w:rsid w:val="00A002B3"/>
    <w:rsid w:val="00A00C8A"/>
    <w:rsid w:val="00A02CE9"/>
    <w:rsid w:val="00A02E89"/>
    <w:rsid w:val="00A042D1"/>
    <w:rsid w:val="00A05857"/>
    <w:rsid w:val="00A0708A"/>
    <w:rsid w:val="00A178D2"/>
    <w:rsid w:val="00A2095C"/>
    <w:rsid w:val="00A21690"/>
    <w:rsid w:val="00A24854"/>
    <w:rsid w:val="00A27CC8"/>
    <w:rsid w:val="00A3213A"/>
    <w:rsid w:val="00A51C90"/>
    <w:rsid w:val="00A53DE8"/>
    <w:rsid w:val="00A55CA1"/>
    <w:rsid w:val="00A56089"/>
    <w:rsid w:val="00A60820"/>
    <w:rsid w:val="00A615D3"/>
    <w:rsid w:val="00A61670"/>
    <w:rsid w:val="00A662BA"/>
    <w:rsid w:val="00A70B62"/>
    <w:rsid w:val="00A71D38"/>
    <w:rsid w:val="00A7322A"/>
    <w:rsid w:val="00A75AA3"/>
    <w:rsid w:val="00A75D91"/>
    <w:rsid w:val="00A77554"/>
    <w:rsid w:val="00A827C2"/>
    <w:rsid w:val="00A847E6"/>
    <w:rsid w:val="00A91003"/>
    <w:rsid w:val="00A92FEC"/>
    <w:rsid w:val="00A94B75"/>
    <w:rsid w:val="00A95416"/>
    <w:rsid w:val="00A9650D"/>
    <w:rsid w:val="00A96B53"/>
    <w:rsid w:val="00A97818"/>
    <w:rsid w:val="00AA1E27"/>
    <w:rsid w:val="00AA29DB"/>
    <w:rsid w:val="00AA3516"/>
    <w:rsid w:val="00AA4553"/>
    <w:rsid w:val="00AA5081"/>
    <w:rsid w:val="00AA5C8C"/>
    <w:rsid w:val="00AA72B1"/>
    <w:rsid w:val="00AA72E3"/>
    <w:rsid w:val="00AB0131"/>
    <w:rsid w:val="00AB2D96"/>
    <w:rsid w:val="00AB430E"/>
    <w:rsid w:val="00AB4FA4"/>
    <w:rsid w:val="00AB768E"/>
    <w:rsid w:val="00AC05F5"/>
    <w:rsid w:val="00AC4263"/>
    <w:rsid w:val="00AD27EF"/>
    <w:rsid w:val="00AD33CE"/>
    <w:rsid w:val="00AD4F43"/>
    <w:rsid w:val="00AD502C"/>
    <w:rsid w:val="00AD7CB5"/>
    <w:rsid w:val="00AE235E"/>
    <w:rsid w:val="00AE4CB2"/>
    <w:rsid w:val="00AE5793"/>
    <w:rsid w:val="00AE5AA2"/>
    <w:rsid w:val="00AE7E13"/>
    <w:rsid w:val="00AF18A6"/>
    <w:rsid w:val="00AF2D41"/>
    <w:rsid w:val="00B00D91"/>
    <w:rsid w:val="00B014D8"/>
    <w:rsid w:val="00B03A44"/>
    <w:rsid w:val="00B043A6"/>
    <w:rsid w:val="00B045E0"/>
    <w:rsid w:val="00B04C8F"/>
    <w:rsid w:val="00B04E7E"/>
    <w:rsid w:val="00B061D7"/>
    <w:rsid w:val="00B07595"/>
    <w:rsid w:val="00B103F8"/>
    <w:rsid w:val="00B10DAD"/>
    <w:rsid w:val="00B15061"/>
    <w:rsid w:val="00B21EEF"/>
    <w:rsid w:val="00B22BCD"/>
    <w:rsid w:val="00B234D2"/>
    <w:rsid w:val="00B2365F"/>
    <w:rsid w:val="00B30A8F"/>
    <w:rsid w:val="00B31BAA"/>
    <w:rsid w:val="00B3337A"/>
    <w:rsid w:val="00B34672"/>
    <w:rsid w:val="00B34721"/>
    <w:rsid w:val="00B36705"/>
    <w:rsid w:val="00B4024A"/>
    <w:rsid w:val="00B40A42"/>
    <w:rsid w:val="00B422D7"/>
    <w:rsid w:val="00B42D37"/>
    <w:rsid w:val="00B45BF7"/>
    <w:rsid w:val="00B477BA"/>
    <w:rsid w:val="00B51C03"/>
    <w:rsid w:val="00B54804"/>
    <w:rsid w:val="00B5488D"/>
    <w:rsid w:val="00B54958"/>
    <w:rsid w:val="00B62194"/>
    <w:rsid w:val="00B62858"/>
    <w:rsid w:val="00B6561F"/>
    <w:rsid w:val="00B67D57"/>
    <w:rsid w:val="00B71583"/>
    <w:rsid w:val="00B715FF"/>
    <w:rsid w:val="00B72B08"/>
    <w:rsid w:val="00B739A3"/>
    <w:rsid w:val="00B75806"/>
    <w:rsid w:val="00B76255"/>
    <w:rsid w:val="00B76962"/>
    <w:rsid w:val="00B80600"/>
    <w:rsid w:val="00B83642"/>
    <w:rsid w:val="00B84305"/>
    <w:rsid w:val="00B8569E"/>
    <w:rsid w:val="00B85EB9"/>
    <w:rsid w:val="00B86258"/>
    <w:rsid w:val="00B907C0"/>
    <w:rsid w:val="00B914C2"/>
    <w:rsid w:val="00B91FE8"/>
    <w:rsid w:val="00B96210"/>
    <w:rsid w:val="00BA44BD"/>
    <w:rsid w:val="00BA53A9"/>
    <w:rsid w:val="00BA60CC"/>
    <w:rsid w:val="00BA6E76"/>
    <w:rsid w:val="00BA71EA"/>
    <w:rsid w:val="00BB3C0E"/>
    <w:rsid w:val="00BB61EF"/>
    <w:rsid w:val="00BB7005"/>
    <w:rsid w:val="00BC24B3"/>
    <w:rsid w:val="00BC294D"/>
    <w:rsid w:val="00BC370A"/>
    <w:rsid w:val="00BC3884"/>
    <w:rsid w:val="00BC4A4C"/>
    <w:rsid w:val="00BC54D3"/>
    <w:rsid w:val="00BD2916"/>
    <w:rsid w:val="00BD58F7"/>
    <w:rsid w:val="00BD5A8A"/>
    <w:rsid w:val="00BD5F72"/>
    <w:rsid w:val="00BD6AC5"/>
    <w:rsid w:val="00BE0091"/>
    <w:rsid w:val="00BE0854"/>
    <w:rsid w:val="00BE2CFE"/>
    <w:rsid w:val="00BE53C8"/>
    <w:rsid w:val="00BE662A"/>
    <w:rsid w:val="00BF0850"/>
    <w:rsid w:val="00BF1BA3"/>
    <w:rsid w:val="00BF4E2A"/>
    <w:rsid w:val="00C01218"/>
    <w:rsid w:val="00C078E3"/>
    <w:rsid w:val="00C10858"/>
    <w:rsid w:val="00C12AA5"/>
    <w:rsid w:val="00C12FB8"/>
    <w:rsid w:val="00C13302"/>
    <w:rsid w:val="00C1398C"/>
    <w:rsid w:val="00C150E0"/>
    <w:rsid w:val="00C20A50"/>
    <w:rsid w:val="00C20EA8"/>
    <w:rsid w:val="00C21D44"/>
    <w:rsid w:val="00C242A7"/>
    <w:rsid w:val="00C267A3"/>
    <w:rsid w:val="00C30ACF"/>
    <w:rsid w:val="00C338CD"/>
    <w:rsid w:val="00C40797"/>
    <w:rsid w:val="00C40813"/>
    <w:rsid w:val="00C41A63"/>
    <w:rsid w:val="00C43481"/>
    <w:rsid w:val="00C436AA"/>
    <w:rsid w:val="00C43B9B"/>
    <w:rsid w:val="00C45A19"/>
    <w:rsid w:val="00C51C64"/>
    <w:rsid w:val="00C538EE"/>
    <w:rsid w:val="00C55C03"/>
    <w:rsid w:val="00C56E81"/>
    <w:rsid w:val="00C62604"/>
    <w:rsid w:val="00C629AE"/>
    <w:rsid w:val="00C63931"/>
    <w:rsid w:val="00C64777"/>
    <w:rsid w:val="00C66DD5"/>
    <w:rsid w:val="00C67E05"/>
    <w:rsid w:val="00C71B80"/>
    <w:rsid w:val="00C73DA1"/>
    <w:rsid w:val="00C8187B"/>
    <w:rsid w:val="00C8307A"/>
    <w:rsid w:val="00C840A9"/>
    <w:rsid w:val="00C86396"/>
    <w:rsid w:val="00C86961"/>
    <w:rsid w:val="00C922CB"/>
    <w:rsid w:val="00C92729"/>
    <w:rsid w:val="00C97D9C"/>
    <w:rsid w:val="00CA1333"/>
    <w:rsid w:val="00CA1861"/>
    <w:rsid w:val="00CA4A64"/>
    <w:rsid w:val="00CA6C69"/>
    <w:rsid w:val="00CA7F77"/>
    <w:rsid w:val="00CB0B3D"/>
    <w:rsid w:val="00CB1C60"/>
    <w:rsid w:val="00CB1D0E"/>
    <w:rsid w:val="00CB565B"/>
    <w:rsid w:val="00CB7DD2"/>
    <w:rsid w:val="00CC3B2E"/>
    <w:rsid w:val="00CC4063"/>
    <w:rsid w:val="00CC5444"/>
    <w:rsid w:val="00CD01FD"/>
    <w:rsid w:val="00CD06B9"/>
    <w:rsid w:val="00CD130C"/>
    <w:rsid w:val="00CD3D87"/>
    <w:rsid w:val="00CD4CAA"/>
    <w:rsid w:val="00CD6054"/>
    <w:rsid w:val="00CD7EDB"/>
    <w:rsid w:val="00CE0607"/>
    <w:rsid w:val="00CE411D"/>
    <w:rsid w:val="00CE5211"/>
    <w:rsid w:val="00CE6AF8"/>
    <w:rsid w:val="00CF050C"/>
    <w:rsid w:val="00CF3A62"/>
    <w:rsid w:val="00CF524F"/>
    <w:rsid w:val="00CF73D2"/>
    <w:rsid w:val="00CF742E"/>
    <w:rsid w:val="00CF7D57"/>
    <w:rsid w:val="00D019D3"/>
    <w:rsid w:val="00D01C37"/>
    <w:rsid w:val="00D04875"/>
    <w:rsid w:val="00D0691F"/>
    <w:rsid w:val="00D07095"/>
    <w:rsid w:val="00D10E0F"/>
    <w:rsid w:val="00D116ED"/>
    <w:rsid w:val="00D138D3"/>
    <w:rsid w:val="00D167F5"/>
    <w:rsid w:val="00D16AD6"/>
    <w:rsid w:val="00D21661"/>
    <w:rsid w:val="00D23A6D"/>
    <w:rsid w:val="00D24F61"/>
    <w:rsid w:val="00D2524F"/>
    <w:rsid w:val="00D2663D"/>
    <w:rsid w:val="00D27059"/>
    <w:rsid w:val="00D31226"/>
    <w:rsid w:val="00D47B1F"/>
    <w:rsid w:val="00D6116E"/>
    <w:rsid w:val="00D61B53"/>
    <w:rsid w:val="00D61EB1"/>
    <w:rsid w:val="00D64115"/>
    <w:rsid w:val="00D64C0D"/>
    <w:rsid w:val="00D6590A"/>
    <w:rsid w:val="00D6729A"/>
    <w:rsid w:val="00D700DE"/>
    <w:rsid w:val="00D70BC5"/>
    <w:rsid w:val="00D73F03"/>
    <w:rsid w:val="00D763B7"/>
    <w:rsid w:val="00D805B7"/>
    <w:rsid w:val="00D821C7"/>
    <w:rsid w:val="00D8312A"/>
    <w:rsid w:val="00D90245"/>
    <w:rsid w:val="00D92717"/>
    <w:rsid w:val="00D95A83"/>
    <w:rsid w:val="00D96527"/>
    <w:rsid w:val="00D96B1B"/>
    <w:rsid w:val="00DA11C9"/>
    <w:rsid w:val="00DA15EE"/>
    <w:rsid w:val="00DA3DA6"/>
    <w:rsid w:val="00DA44BA"/>
    <w:rsid w:val="00DA70A3"/>
    <w:rsid w:val="00DA7A64"/>
    <w:rsid w:val="00DB1E80"/>
    <w:rsid w:val="00DB25E5"/>
    <w:rsid w:val="00DB28CD"/>
    <w:rsid w:val="00DB7184"/>
    <w:rsid w:val="00DC1E6A"/>
    <w:rsid w:val="00DC3C8A"/>
    <w:rsid w:val="00DC49C4"/>
    <w:rsid w:val="00DC61A9"/>
    <w:rsid w:val="00DD025D"/>
    <w:rsid w:val="00DD1128"/>
    <w:rsid w:val="00DD3108"/>
    <w:rsid w:val="00DD3A49"/>
    <w:rsid w:val="00DD77AD"/>
    <w:rsid w:val="00DE1956"/>
    <w:rsid w:val="00DE1EAC"/>
    <w:rsid w:val="00DE6181"/>
    <w:rsid w:val="00DE7C1B"/>
    <w:rsid w:val="00DF0808"/>
    <w:rsid w:val="00DF1E54"/>
    <w:rsid w:val="00DF1FAF"/>
    <w:rsid w:val="00DF49E1"/>
    <w:rsid w:val="00DF68E6"/>
    <w:rsid w:val="00DF77FD"/>
    <w:rsid w:val="00E0174B"/>
    <w:rsid w:val="00E02DDD"/>
    <w:rsid w:val="00E03045"/>
    <w:rsid w:val="00E057EA"/>
    <w:rsid w:val="00E0713B"/>
    <w:rsid w:val="00E07521"/>
    <w:rsid w:val="00E13EAA"/>
    <w:rsid w:val="00E20371"/>
    <w:rsid w:val="00E22063"/>
    <w:rsid w:val="00E23C83"/>
    <w:rsid w:val="00E304F0"/>
    <w:rsid w:val="00E32CAD"/>
    <w:rsid w:val="00E3390F"/>
    <w:rsid w:val="00E339F6"/>
    <w:rsid w:val="00E3683F"/>
    <w:rsid w:val="00E43934"/>
    <w:rsid w:val="00E43E66"/>
    <w:rsid w:val="00E45665"/>
    <w:rsid w:val="00E457CC"/>
    <w:rsid w:val="00E47AD1"/>
    <w:rsid w:val="00E5079D"/>
    <w:rsid w:val="00E51586"/>
    <w:rsid w:val="00E538B9"/>
    <w:rsid w:val="00E53E12"/>
    <w:rsid w:val="00E55D50"/>
    <w:rsid w:val="00E57CCD"/>
    <w:rsid w:val="00E63058"/>
    <w:rsid w:val="00E73FFE"/>
    <w:rsid w:val="00E742D3"/>
    <w:rsid w:val="00E76930"/>
    <w:rsid w:val="00E772E7"/>
    <w:rsid w:val="00E80570"/>
    <w:rsid w:val="00E9035B"/>
    <w:rsid w:val="00E9229D"/>
    <w:rsid w:val="00E9573D"/>
    <w:rsid w:val="00E9708D"/>
    <w:rsid w:val="00E9783C"/>
    <w:rsid w:val="00EA1A2F"/>
    <w:rsid w:val="00EA2959"/>
    <w:rsid w:val="00EA4150"/>
    <w:rsid w:val="00EA590A"/>
    <w:rsid w:val="00EA7986"/>
    <w:rsid w:val="00EB15FB"/>
    <w:rsid w:val="00EB289D"/>
    <w:rsid w:val="00EB3F01"/>
    <w:rsid w:val="00EB4333"/>
    <w:rsid w:val="00EB4DBF"/>
    <w:rsid w:val="00EB68C0"/>
    <w:rsid w:val="00EC2F00"/>
    <w:rsid w:val="00EC39F5"/>
    <w:rsid w:val="00EC5A18"/>
    <w:rsid w:val="00ED111D"/>
    <w:rsid w:val="00ED1455"/>
    <w:rsid w:val="00ED1FA1"/>
    <w:rsid w:val="00ED204B"/>
    <w:rsid w:val="00ED3594"/>
    <w:rsid w:val="00ED3E23"/>
    <w:rsid w:val="00EE25DB"/>
    <w:rsid w:val="00EE5052"/>
    <w:rsid w:val="00EF1278"/>
    <w:rsid w:val="00F00157"/>
    <w:rsid w:val="00F00176"/>
    <w:rsid w:val="00F00305"/>
    <w:rsid w:val="00F01869"/>
    <w:rsid w:val="00F12CD3"/>
    <w:rsid w:val="00F13110"/>
    <w:rsid w:val="00F157B6"/>
    <w:rsid w:val="00F17D2B"/>
    <w:rsid w:val="00F20874"/>
    <w:rsid w:val="00F212A1"/>
    <w:rsid w:val="00F218BB"/>
    <w:rsid w:val="00F21C6F"/>
    <w:rsid w:val="00F22F1D"/>
    <w:rsid w:val="00F272A3"/>
    <w:rsid w:val="00F30684"/>
    <w:rsid w:val="00F309BC"/>
    <w:rsid w:val="00F3358C"/>
    <w:rsid w:val="00F340CF"/>
    <w:rsid w:val="00F42C44"/>
    <w:rsid w:val="00F46BD5"/>
    <w:rsid w:val="00F4781E"/>
    <w:rsid w:val="00F47EA7"/>
    <w:rsid w:val="00F56532"/>
    <w:rsid w:val="00F611C1"/>
    <w:rsid w:val="00F64323"/>
    <w:rsid w:val="00F66DEA"/>
    <w:rsid w:val="00F67137"/>
    <w:rsid w:val="00F72229"/>
    <w:rsid w:val="00F73988"/>
    <w:rsid w:val="00F7790E"/>
    <w:rsid w:val="00F81F87"/>
    <w:rsid w:val="00F840EF"/>
    <w:rsid w:val="00F84738"/>
    <w:rsid w:val="00F85EEF"/>
    <w:rsid w:val="00F87C09"/>
    <w:rsid w:val="00F87F6C"/>
    <w:rsid w:val="00F91919"/>
    <w:rsid w:val="00F926D8"/>
    <w:rsid w:val="00F954F9"/>
    <w:rsid w:val="00FA20C5"/>
    <w:rsid w:val="00FA3952"/>
    <w:rsid w:val="00FA4817"/>
    <w:rsid w:val="00FA4A4A"/>
    <w:rsid w:val="00FA56A1"/>
    <w:rsid w:val="00FA5A5C"/>
    <w:rsid w:val="00FB2140"/>
    <w:rsid w:val="00FC18A1"/>
    <w:rsid w:val="00FC1EE3"/>
    <w:rsid w:val="00FC3F33"/>
    <w:rsid w:val="00FC549D"/>
    <w:rsid w:val="00FC61F7"/>
    <w:rsid w:val="00FC7155"/>
    <w:rsid w:val="00FD3C01"/>
    <w:rsid w:val="00FD69B2"/>
    <w:rsid w:val="00FE39E4"/>
    <w:rsid w:val="00FF0E7F"/>
    <w:rsid w:val="00FF51AC"/>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741413F"/>
  <w15:docId w15:val="{C813A8A0-E19E-488F-A944-549927D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C2BA4"/>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9"/>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9"/>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9"/>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9"/>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9"/>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9"/>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9"/>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F51AC"/>
    <w:pPr>
      <w:tabs>
        <w:tab w:val="center" w:pos="4535"/>
        <w:tab w:val="right" w:pos="9071"/>
      </w:tabs>
      <w:spacing w:before="0"/>
    </w:pPr>
  </w:style>
  <w:style w:type="character" w:customStyle="1" w:styleId="GlavaZnak">
    <w:name w:val="Glava Znak"/>
    <w:basedOn w:val="Privzetapisavaodstavka"/>
    <w:link w:val="Glava"/>
    <w:uiPriority w:val="99"/>
    <w:rsid w:val="00FF51AC"/>
    <w:rPr>
      <w:rFonts w:ascii="Times New Roman" w:hAnsi="Times New Roman" w:cs="Times New Roman"/>
      <w:sz w:val="24"/>
      <w:lang w:val="sl-SI"/>
    </w:rPr>
  </w:style>
  <w:style w:type="paragraph" w:styleId="Noga">
    <w:name w:val="footer"/>
    <w:basedOn w:val="Navaden"/>
    <w:link w:val="NogaZnak"/>
    <w:uiPriority w:val="99"/>
    <w:unhideWhenUsed/>
    <w:rsid w:val="00FF51AC"/>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F51AC"/>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F51AC"/>
    <w:pPr>
      <w:tabs>
        <w:tab w:val="center" w:pos="7285"/>
        <w:tab w:val="right" w:pos="14003"/>
      </w:tabs>
      <w:spacing w:before="0"/>
    </w:pPr>
  </w:style>
  <w:style w:type="paragraph" w:customStyle="1" w:styleId="FooterLandscape">
    <w:name w:val="FooterLandscape"/>
    <w:basedOn w:val="Navaden"/>
    <w:rsid w:val="00FF51AC"/>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F51A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F51AC"/>
    <w:pPr>
      <w:spacing w:before="0"/>
      <w:jc w:val="right"/>
    </w:pPr>
    <w:rPr>
      <w:sz w:val="28"/>
    </w:rPr>
  </w:style>
  <w:style w:type="paragraph" w:customStyle="1" w:styleId="FooterSensitivity">
    <w:name w:val="Footer Sensitivity"/>
    <w:basedOn w:val="Navaden"/>
    <w:rsid w:val="00FF51A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8"/>
      </w:numPr>
    </w:pPr>
  </w:style>
  <w:style w:type="paragraph" w:customStyle="1" w:styleId="NumPar2">
    <w:name w:val="NumPar 2"/>
    <w:basedOn w:val="Navaden"/>
    <w:next w:val="Text1"/>
    <w:pPr>
      <w:numPr>
        <w:ilvl w:val="1"/>
        <w:numId w:val="18"/>
      </w:numPr>
    </w:pPr>
  </w:style>
  <w:style w:type="paragraph" w:customStyle="1" w:styleId="NumPar3">
    <w:name w:val="NumPar 3"/>
    <w:basedOn w:val="Navaden"/>
    <w:next w:val="Text1"/>
    <w:pPr>
      <w:numPr>
        <w:ilvl w:val="2"/>
        <w:numId w:val="18"/>
      </w:numPr>
    </w:pPr>
  </w:style>
  <w:style w:type="paragraph" w:customStyle="1" w:styleId="NumPar4">
    <w:name w:val="NumPar 4"/>
    <w:basedOn w:val="Navaden"/>
    <w:next w:val="Text1"/>
    <w:pPr>
      <w:numPr>
        <w:ilvl w:val="3"/>
        <w:numId w:val="18"/>
      </w:numPr>
    </w:pPr>
  </w:style>
  <w:style w:type="paragraph" w:customStyle="1" w:styleId="NumPar5">
    <w:name w:val="NumPar 5"/>
    <w:basedOn w:val="Navaden"/>
    <w:next w:val="Text2"/>
    <w:pPr>
      <w:numPr>
        <w:ilvl w:val="4"/>
        <w:numId w:val="18"/>
      </w:numPr>
    </w:pPr>
  </w:style>
  <w:style w:type="paragraph" w:customStyle="1" w:styleId="NumPar6">
    <w:name w:val="NumPar 6"/>
    <w:basedOn w:val="Navaden"/>
    <w:next w:val="Text2"/>
    <w:pPr>
      <w:numPr>
        <w:ilvl w:val="5"/>
        <w:numId w:val="18"/>
      </w:numPr>
    </w:pPr>
  </w:style>
  <w:style w:type="paragraph" w:customStyle="1" w:styleId="NumPar7">
    <w:name w:val="NumPar 7"/>
    <w:basedOn w:val="Navaden"/>
    <w:next w:val="Text2"/>
    <w:pPr>
      <w:numPr>
        <w:ilvl w:val="6"/>
        <w:numId w:val="18"/>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sid w:val="00F954F9"/>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0"/>
      </w:numPr>
    </w:pPr>
  </w:style>
  <w:style w:type="paragraph" w:customStyle="1" w:styleId="Point1number">
    <w:name w:val="Point 1 (number)"/>
    <w:basedOn w:val="Navaden"/>
    <w:pPr>
      <w:numPr>
        <w:ilvl w:val="2"/>
        <w:numId w:val="20"/>
      </w:numPr>
    </w:pPr>
  </w:style>
  <w:style w:type="paragraph" w:customStyle="1" w:styleId="Point2number">
    <w:name w:val="Point 2 (number)"/>
    <w:basedOn w:val="Navaden"/>
    <w:pPr>
      <w:numPr>
        <w:ilvl w:val="4"/>
        <w:numId w:val="20"/>
      </w:numPr>
    </w:pPr>
  </w:style>
  <w:style w:type="paragraph" w:customStyle="1" w:styleId="Point3number">
    <w:name w:val="Point 3 (number)"/>
    <w:basedOn w:val="Navaden"/>
    <w:pPr>
      <w:numPr>
        <w:ilvl w:val="6"/>
        <w:numId w:val="20"/>
      </w:numPr>
    </w:pPr>
  </w:style>
  <w:style w:type="paragraph" w:customStyle="1" w:styleId="Point0letter">
    <w:name w:val="Point 0 (letter)"/>
    <w:basedOn w:val="Navaden"/>
    <w:pPr>
      <w:numPr>
        <w:ilvl w:val="1"/>
        <w:numId w:val="20"/>
      </w:numPr>
    </w:pPr>
  </w:style>
  <w:style w:type="paragraph" w:customStyle="1" w:styleId="Point1letter">
    <w:name w:val="Point 1 (letter)"/>
    <w:basedOn w:val="Navaden"/>
    <w:pPr>
      <w:numPr>
        <w:ilvl w:val="3"/>
        <w:numId w:val="20"/>
      </w:numPr>
    </w:pPr>
  </w:style>
  <w:style w:type="paragraph" w:customStyle="1" w:styleId="Point2letter">
    <w:name w:val="Point 2 (letter)"/>
    <w:basedOn w:val="Navaden"/>
    <w:pPr>
      <w:numPr>
        <w:ilvl w:val="5"/>
        <w:numId w:val="20"/>
      </w:numPr>
    </w:pPr>
  </w:style>
  <w:style w:type="paragraph" w:customStyle="1" w:styleId="Point3letter">
    <w:name w:val="Point 3 (letter)"/>
    <w:basedOn w:val="Navaden"/>
    <w:pPr>
      <w:numPr>
        <w:ilvl w:val="7"/>
        <w:numId w:val="20"/>
      </w:numPr>
    </w:pPr>
  </w:style>
  <w:style w:type="paragraph" w:customStyle="1" w:styleId="Point4letter">
    <w:name w:val="Point 4 (letter)"/>
    <w:basedOn w:val="Navaden"/>
    <w:pPr>
      <w:numPr>
        <w:ilvl w:val="8"/>
        <w:numId w:val="20"/>
      </w:numPr>
    </w:pPr>
  </w:style>
  <w:style w:type="paragraph" w:customStyle="1" w:styleId="Bullet0">
    <w:name w:val="Bullet 0"/>
    <w:basedOn w:val="Navaden"/>
    <w:pPr>
      <w:numPr>
        <w:numId w:val="21"/>
      </w:numPr>
    </w:pPr>
  </w:style>
  <w:style w:type="paragraph" w:customStyle="1" w:styleId="Bullet1">
    <w:name w:val="Bullet 1"/>
    <w:basedOn w:val="Navaden"/>
    <w:pPr>
      <w:numPr>
        <w:numId w:val="22"/>
      </w:numPr>
    </w:pPr>
  </w:style>
  <w:style w:type="paragraph" w:customStyle="1" w:styleId="Bullet2">
    <w:name w:val="Bullet 2"/>
    <w:basedOn w:val="Navaden"/>
    <w:pPr>
      <w:numPr>
        <w:numId w:val="23"/>
      </w:numPr>
    </w:pPr>
  </w:style>
  <w:style w:type="paragraph" w:customStyle="1" w:styleId="Bullet3">
    <w:name w:val="Bullet 3"/>
    <w:basedOn w:val="Navaden"/>
    <w:pPr>
      <w:numPr>
        <w:numId w:val="24"/>
      </w:numPr>
    </w:pPr>
  </w:style>
  <w:style w:type="paragraph" w:customStyle="1" w:styleId="Bullet4">
    <w:name w:val="Bullet 4"/>
    <w:basedOn w:val="Navaden"/>
    <w:pPr>
      <w:numPr>
        <w:numId w:val="25"/>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6"/>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uiPriority w:val="99"/>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paragraph" w:styleId="Brezrazmikov">
    <w:name w:val="No Spacing"/>
    <w:uiPriority w:val="1"/>
    <w:qFormat/>
    <w:rsid w:val="00614B4A"/>
    <w:pPr>
      <w:spacing w:after="0" w:line="240" w:lineRule="auto"/>
    </w:pPr>
    <w:rPr>
      <w:lang w:val="sl-SI"/>
    </w:rPr>
  </w:style>
  <w:style w:type="paragraph" w:styleId="Navadensplet">
    <w:name w:val="Normal (Web)"/>
    <w:basedOn w:val="Navaden"/>
    <w:uiPriority w:val="99"/>
    <w:unhideWhenUsed/>
    <w:rsid w:val="009B595F"/>
    <w:pPr>
      <w:spacing w:before="100" w:beforeAutospacing="1" w:after="100" w:afterAutospacing="1"/>
      <w:jc w:val="left"/>
    </w:pPr>
    <w:rPr>
      <w:rFonts w:eastAsia="Times New Roman"/>
      <w:szCs w:val="24"/>
      <w:lang w:eastAsia="sl-SI"/>
    </w:rPr>
  </w:style>
  <w:style w:type="character" w:styleId="Krepko">
    <w:name w:val="Strong"/>
    <w:basedOn w:val="Privzetapisavaodstavka"/>
    <w:uiPriority w:val="22"/>
    <w:qFormat/>
    <w:rsid w:val="00423120"/>
    <w:rPr>
      <w:b/>
      <w:bCs/>
    </w:rPr>
  </w:style>
  <w:style w:type="character" w:styleId="Nerazreenaomemba">
    <w:name w:val="Unresolved Mention"/>
    <w:basedOn w:val="Privzetapisavaodstavka"/>
    <w:uiPriority w:val="99"/>
    <w:semiHidden/>
    <w:unhideWhenUsed/>
    <w:rsid w:val="003C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376">
      <w:bodyDiv w:val="1"/>
      <w:marLeft w:val="0"/>
      <w:marRight w:val="0"/>
      <w:marTop w:val="0"/>
      <w:marBottom w:val="0"/>
      <w:divBdr>
        <w:top w:val="none" w:sz="0" w:space="0" w:color="auto"/>
        <w:left w:val="none" w:sz="0" w:space="0" w:color="auto"/>
        <w:bottom w:val="none" w:sz="0" w:space="0" w:color="auto"/>
        <w:right w:val="none" w:sz="0" w:space="0" w:color="auto"/>
      </w:divBdr>
    </w:div>
    <w:div w:id="22827965">
      <w:bodyDiv w:val="1"/>
      <w:marLeft w:val="0"/>
      <w:marRight w:val="0"/>
      <w:marTop w:val="0"/>
      <w:marBottom w:val="0"/>
      <w:divBdr>
        <w:top w:val="none" w:sz="0" w:space="0" w:color="auto"/>
        <w:left w:val="none" w:sz="0" w:space="0" w:color="auto"/>
        <w:bottom w:val="none" w:sz="0" w:space="0" w:color="auto"/>
        <w:right w:val="none" w:sz="0" w:space="0" w:color="auto"/>
      </w:divBdr>
    </w:div>
    <w:div w:id="53891147">
      <w:bodyDiv w:val="1"/>
      <w:marLeft w:val="0"/>
      <w:marRight w:val="0"/>
      <w:marTop w:val="0"/>
      <w:marBottom w:val="0"/>
      <w:divBdr>
        <w:top w:val="none" w:sz="0" w:space="0" w:color="auto"/>
        <w:left w:val="none" w:sz="0" w:space="0" w:color="auto"/>
        <w:bottom w:val="none" w:sz="0" w:space="0" w:color="auto"/>
        <w:right w:val="none" w:sz="0" w:space="0" w:color="auto"/>
      </w:divBdr>
    </w:div>
    <w:div w:id="105348489">
      <w:bodyDiv w:val="1"/>
      <w:marLeft w:val="0"/>
      <w:marRight w:val="0"/>
      <w:marTop w:val="0"/>
      <w:marBottom w:val="0"/>
      <w:divBdr>
        <w:top w:val="none" w:sz="0" w:space="0" w:color="auto"/>
        <w:left w:val="none" w:sz="0" w:space="0" w:color="auto"/>
        <w:bottom w:val="none" w:sz="0" w:space="0" w:color="auto"/>
        <w:right w:val="none" w:sz="0" w:space="0" w:color="auto"/>
      </w:divBdr>
    </w:div>
    <w:div w:id="281619667">
      <w:bodyDiv w:val="1"/>
      <w:marLeft w:val="0"/>
      <w:marRight w:val="0"/>
      <w:marTop w:val="0"/>
      <w:marBottom w:val="0"/>
      <w:divBdr>
        <w:top w:val="none" w:sz="0" w:space="0" w:color="auto"/>
        <w:left w:val="none" w:sz="0" w:space="0" w:color="auto"/>
        <w:bottom w:val="none" w:sz="0" w:space="0" w:color="auto"/>
        <w:right w:val="none" w:sz="0" w:space="0" w:color="auto"/>
      </w:divBdr>
    </w:div>
    <w:div w:id="301348187">
      <w:bodyDiv w:val="1"/>
      <w:marLeft w:val="0"/>
      <w:marRight w:val="0"/>
      <w:marTop w:val="0"/>
      <w:marBottom w:val="0"/>
      <w:divBdr>
        <w:top w:val="none" w:sz="0" w:space="0" w:color="auto"/>
        <w:left w:val="none" w:sz="0" w:space="0" w:color="auto"/>
        <w:bottom w:val="none" w:sz="0" w:space="0" w:color="auto"/>
        <w:right w:val="none" w:sz="0" w:space="0" w:color="auto"/>
      </w:divBdr>
    </w:div>
    <w:div w:id="426274688">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657418937">
      <w:bodyDiv w:val="1"/>
      <w:marLeft w:val="0"/>
      <w:marRight w:val="0"/>
      <w:marTop w:val="0"/>
      <w:marBottom w:val="0"/>
      <w:divBdr>
        <w:top w:val="none" w:sz="0" w:space="0" w:color="auto"/>
        <w:left w:val="none" w:sz="0" w:space="0" w:color="auto"/>
        <w:bottom w:val="none" w:sz="0" w:space="0" w:color="auto"/>
        <w:right w:val="none" w:sz="0" w:space="0" w:color="auto"/>
      </w:divBdr>
    </w:div>
    <w:div w:id="673260341">
      <w:bodyDiv w:val="1"/>
      <w:marLeft w:val="0"/>
      <w:marRight w:val="0"/>
      <w:marTop w:val="0"/>
      <w:marBottom w:val="0"/>
      <w:divBdr>
        <w:top w:val="none" w:sz="0" w:space="0" w:color="auto"/>
        <w:left w:val="none" w:sz="0" w:space="0" w:color="auto"/>
        <w:bottom w:val="none" w:sz="0" w:space="0" w:color="auto"/>
        <w:right w:val="none" w:sz="0" w:space="0" w:color="auto"/>
      </w:divBdr>
    </w:div>
    <w:div w:id="708142992">
      <w:bodyDiv w:val="1"/>
      <w:marLeft w:val="0"/>
      <w:marRight w:val="0"/>
      <w:marTop w:val="0"/>
      <w:marBottom w:val="0"/>
      <w:divBdr>
        <w:top w:val="none" w:sz="0" w:space="0" w:color="auto"/>
        <w:left w:val="none" w:sz="0" w:space="0" w:color="auto"/>
        <w:bottom w:val="none" w:sz="0" w:space="0" w:color="auto"/>
        <w:right w:val="none" w:sz="0" w:space="0" w:color="auto"/>
      </w:divBdr>
    </w:div>
    <w:div w:id="743920088">
      <w:bodyDiv w:val="1"/>
      <w:marLeft w:val="0"/>
      <w:marRight w:val="0"/>
      <w:marTop w:val="0"/>
      <w:marBottom w:val="0"/>
      <w:divBdr>
        <w:top w:val="none" w:sz="0" w:space="0" w:color="auto"/>
        <w:left w:val="none" w:sz="0" w:space="0" w:color="auto"/>
        <w:bottom w:val="none" w:sz="0" w:space="0" w:color="auto"/>
        <w:right w:val="none" w:sz="0" w:space="0" w:color="auto"/>
      </w:divBdr>
    </w:div>
    <w:div w:id="768279451">
      <w:bodyDiv w:val="1"/>
      <w:marLeft w:val="0"/>
      <w:marRight w:val="0"/>
      <w:marTop w:val="0"/>
      <w:marBottom w:val="0"/>
      <w:divBdr>
        <w:top w:val="none" w:sz="0" w:space="0" w:color="auto"/>
        <w:left w:val="none" w:sz="0" w:space="0" w:color="auto"/>
        <w:bottom w:val="none" w:sz="0" w:space="0" w:color="auto"/>
        <w:right w:val="none" w:sz="0" w:space="0" w:color="auto"/>
      </w:divBdr>
    </w:div>
    <w:div w:id="781457852">
      <w:bodyDiv w:val="1"/>
      <w:marLeft w:val="0"/>
      <w:marRight w:val="0"/>
      <w:marTop w:val="0"/>
      <w:marBottom w:val="0"/>
      <w:divBdr>
        <w:top w:val="none" w:sz="0" w:space="0" w:color="auto"/>
        <w:left w:val="none" w:sz="0" w:space="0" w:color="auto"/>
        <w:bottom w:val="none" w:sz="0" w:space="0" w:color="auto"/>
        <w:right w:val="none" w:sz="0" w:space="0" w:color="auto"/>
      </w:divBdr>
    </w:div>
    <w:div w:id="792749249">
      <w:bodyDiv w:val="1"/>
      <w:marLeft w:val="0"/>
      <w:marRight w:val="0"/>
      <w:marTop w:val="0"/>
      <w:marBottom w:val="0"/>
      <w:divBdr>
        <w:top w:val="none" w:sz="0" w:space="0" w:color="auto"/>
        <w:left w:val="none" w:sz="0" w:space="0" w:color="auto"/>
        <w:bottom w:val="none" w:sz="0" w:space="0" w:color="auto"/>
        <w:right w:val="none" w:sz="0" w:space="0" w:color="auto"/>
      </w:divBdr>
    </w:div>
    <w:div w:id="851919892">
      <w:bodyDiv w:val="1"/>
      <w:marLeft w:val="0"/>
      <w:marRight w:val="0"/>
      <w:marTop w:val="0"/>
      <w:marBottom w:val="0"/>
      <w:divBdr>
        <w:top w:val="none" w:sz="0" w:space="0" w:color="auto"/>
        <w:left w:val="none" w:sz="0" w:space="0" w:color="auto"/>
        <w:bottom w:val="none" w:sz="0" w:space="0" w:color="auto"/>
        <w:right w:val="none" w:sz="0" w:space="0" w:color="auto"/>
      </w:divBdr>
    </w:div>
    <w:div w:id="900289679">
      <w:bodyDiv w:val="1"/>
      <w:marLeft w:val="0"/>
      <w:marRight w:val="0"/>
      <w:marTop w:val="0"/>
      <w:marBottom w:val="0"/>
      <w:divBdr>
        <w:top w:val="none" w:sz="0" w:space="0" w:color="auto"/>
        <w:left w:val="none" w:sz="0" w:space="0" w:color="auto"/>
        <w:bottom w:val="none" w:sz="0" w:space="0" w:color="auto"/>
        <w:right w:val="none" w:sz="0" w:space="0" w:color="auto"/>
      </w:divBdr>
      <w:divsChild>
        <w:div w:id="1646204200">
          <w:marLeft w:val="0"/>
          <w:marRight w:val="0"/>
          <w:marTop w:val="0"/>
          <w:marBottom w:val="0"/>
          <w:divBdr>
            <w:top w:val="none" w:sz="0" w:space="0" w:color="auto"/>
            <w:left w:val="none" w:sz="0" w:space="0" w:color="auto"/>
            <w:bottom w:val="none" w:sz="0" w:space="0" w:color="auto"/>
            <w:right w:val="none" w:sz="0" w:space="0" w:color="auto"/>
          </w:divBdr>
        </w:div>
        <w:div w:id="615450739">
          <w:marLeft w:val="0"/>
          <w:marRight w:val="0"/>
          <w:marTop w:val="0"/>
          <w:marBottom w:val="0"/>
          <w:divBdr>
            <w:top w:val="none" w:sz="0" w:space="0" w:color="auto"/>
            <w:left w:val="none" w:sz="0" w:space="0" w:color="auto"/>
            <w:bottom w:val="none" w:sz="0" w:space="0" w:color="auto"/>
            <w:right w:val="none" w:sz="0" w:space="0" w:color="auto"/>
          </w:divBdr>
        </w:div>
        <w:div w:id="964501591">
          <w:marLeft w:val="0"/>
          <w:marRight w:val="0"/>
          <w:marTop w:val="0"/>
          <w:marBottom w:val="0"/>
          <w:divBdr>
            <w:top w:val="none" w:sz="0" w:space="0" w:color="auto"/>
            <w:left w:val="none" w:sz="0" w:space="0" w:color="auto"/>
            <w:bottom w:val="none" w:sz="0" w:space="0" w:color="auto"/>
            <w:right w:val="none" w:sz="0" w:space="0" w:color="auto"/>
          </w:divBdr>
        </w:div>
      </w:divsChild>
    </w:div>
    <w:div w:id="904610948">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951016281">
      <w:bodyDiv w:val="1"/>
      <w:marLeft w:val="0"/>
      <w:marRight w:val="0"/>
      <w:marTop w:val="0"/>
      <w:marBottom w:val="0"/>
      <w:divBdr>
        <w:top w:val="none" w:sz="0" w:space="0" w:color="auto"/>
        <w:left w:val="none" w:sz="0" w:space="0" w:color="auto"/>
        <w:bottom w:val="none" w:sz="0" w:space="0" w:color="auto"/>
        <w:right w:val="none" w:sz="0" w:space="0" w:color="auto"/>
      </w:divBdr>
    </w:div>
    <w:div w:id="957443449">
      <w:bodyDiv w:val="1"/>
      <w:marLeft w:val="0"/>
      <w:marRight w:val="0"/>
      <w:marTop w:val="0"/>
      <w:marBottom w:val="0"/>
      <w:divBdr>
        <w:top w:val="none" w:sz="0" w:space="0" w:color="auto"/>
        <w:left w:val="none" w:sz="0" w:space="0" w:color="auto"/>
        <w:bottom w:val="none" w:sz="0" w:space="0" w:color="auto"/>
        <w:right w:val="none" w:sz="0" w:space="0" w:color="auto"/>
      </w:divBdr>
    </w:div>
    <w:div w:id="1070885244">
      <w:bodyDiv w:val="1"/>
      <w:marLeft w:val="0"/>
      <w:marRight w:val="0"/>
      <w:marTop w:val="0"/>
      <w:marBottom w:val="0"/>
      <w:divBdr>
        <w:top w:val="none" w:sz="0" w:space="0" w:color="auto"/>
        <w:left w:val="none" w:sz="0" w:space="0" w:color="auto"/>
        <w:bottom w:val="none" w:sz="0" w:space="0" w:color="auto"/>
        <w:right w:val="none" w:sz="0" w:space="0" w:color="auto"/>
      </w:divBdr>
    </w:div>
    <w:div w:id="1171337740">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467966259">
      <w:bodyDiv w:val="1"/>
      <w:marLeft w:val="0"/>
      <w:marRight w:val="0"/>
      <w:marTop w:val="0"/>
      <w:marBottom w:val="0"/>
      <w:divBdr>
        <w:top w:val="none" w:sz="0" w:space="0" w:color="auto"/>
        <w:left w:val="none" w:sz="0" w:space="0" w:color="auto"/>
        <w:bottom w:val="none" w:sz="0" w:space="0" w:color="auto"/>
        <w:right w:val="none" w:sz="0" w:space="0" w:color="auto"/>
      </w:divBdr>
    </w:div>
    <w:div w:id="1537423364">
      <w:bodyDiv w:val="1"/>
      <w:marLeft w:val="0"/>
      <w:marRight w:val="0"/>
      <w:marTop w:val="0"/>
      <w:marBottom w:val="0"/>
      <w:divBdr>
        <w:top w:val="none" w:sz="0" w:space="0" w:color="auto"/>
        <w:left w:val="none" w:sz="0" w:space="0" w:color="auto"/>
        <w:bottom w:val="none" w:sz="0" w:space="0" w:color="auto"/>
        <w:right w:val="none" w:sz="0" w:space="0" w:color="auto"/>
      </w:divBdr>
    </w:div>
    <w:div w:id="1726945779">
      <w:bodyDiv w:val="1"/>
      <w:marLeft w:val="0"/>
      <w:marRight w:val="0"/>
      <w:marTop w:val="0"/>
      <w:marBottom w:val="0"/>
      <w:divBdr>
        <w:top w:val="none" w:sz="0" w:space="0" w:color="auto"/>
        <w:left w:val="none" w:sz="0" w:space="0" w:color="auto"/>
        <w:bottom w:val="none" w:sz="0" w:space="0" w:color="auto"/>
        <w:right w:val="none" w:sz="0" w:space="0" w:color="auto"/>
      </w:divBdr>
    </w:div>
    <w:div w:id="1758138911">
      <w:bodyDiv w:val="1"/>
      <w:marLeft w:val="0"/>
      <w:marRight w:val="0"/>
      <w:marTop w:val="0"/>
      <w:marBottom w:val="0"/>
      <w:divBdr>
        <w:top w:val="none" w:sz="0" w:space="0" w:color="auto"/>
        <w:left w:val="none" w:sz="0" w:space="0" w:color="auto"/>
        <w:bottom w:val="none" w:sz="0" w:space="0" w:color="auto"/>
        <w:right w:val="none" w:sz="0" w:space="0" w:color="auto"/>
      </w:divBdr>
    </w:div>
    <w:div w:id="1863856134">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296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ropskasredstva.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ropskasredstva.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2.xml><?xml version="1.0" encoding="utf-8"?>
<ds:datastoreItem xmlns:ds="http://schemas.openxmlformats.org/officeDocument/2006/customXml" ds:itemID="{21402B5B-8F33-4E96-B0F8-5425ABD4976C}">
  <ds:schemaRefs>
    <ds:schemaRef ds:uri="http://schemas.openxmlformats.org/officeDocument/2006/bibliography"/>
  </ds:schemaRefs>
</ds:datastoreItem>
</file>

<file path=customXml/itemProps3.xml><?xml version="1.0" encoding="utf-8"?>
<ds:datastoreItem xmlns:ds="http://schemas.openxmlformats.org/officeDocument/2006/customXml" ds:itemID="{75356D46-FC06-4E2C-B7DB-6E99CB91049A}">
  <ds:schemaRefs>
    <ds:schemaRef ds:uri="http://schemas.microsoft.com/office/2006/metadata/properties"/>
    <ds:schemaRef ds:uri="http://purl.org/dc/elements/1.1/"/>
    <ds:schemaRef ds:uri="http://purl.org/dc/dcmitype/"/>
    <ds:schemaRef ds:uri="http://purl.org/dc/terms/"/>
    <ds:schemaRef ds:uri="ac131f03-315b-4cd8-8e3a-6189969fd4f0"/>
    <ds:schemaRef ds:uri="5843c966-cb45-4885-93fc-2ce78a94204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4F46FEB-191F-4390-B79A-1CCCD66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Template>
  <TotalTime>127</TotalTime>
  <Pages>19</Pages>
  <Words>8997</Words>
  <Characters>51283</Characters>
  <Application>Microsoft Office Word</Application>
  <DocSecurity>0</DocSecurity>
  <Lines>427</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Mirjam Senčar </cp:lastModifiedBy>
  <cp:revision>21</cp:revision>
  <cp:lastPrinted>2022-11-21T13:10:00Z</cp:lastPrinted>
  <dcterms:created xsi:type="dcterms:W3CDTF">2026-03-30T13:39:00Z</dcterms:created>
  <dcterms:modified xsi:type="dcterms:W3CDTF">2026-04-03T07:32:00Z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