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4F32" w14:textId="77777777" w:rsidR="00555224" w:rsidRPr="0031208D" w:rsidRDefault="002D571C" w:rsidP="00151819">
      <w:pPr>
        <w:pStyle w:val="Annexetitre"/>
        <w:rPr>
          <w:noProof/>
          <w:sz w:val="22"/>
        </w:rPr>
      </w:pPr>
      <w:r w:rsidRPr="0031208D">
        <w:rPr>
          <w:noProof/>
          <w:sz w:val="22"/>
        </w:rPr>
        <w:br/>
      </w:r>
      <w:r w:rsidR="00117E08" w:rsidRPr="0031208D">
        <w:rPr>
          <w:noProof/>
          <w:sz w:val="22"/>
        </w:rPr>
        <w:t>L</w:t>
      </w:r>
      <w:r w:rsidRPr="0031208D">
        <w:rPr>
          <w:noProof/>
          <w:sz w:val="22"/>
        </w:rPr>
        <w:t>etn</w:t>
      </w:r>
      <w:r w:rsidR="00117E08" w:rsidRPr="0031208D">
        <w:rPr>
          <w:noProof/>
          <w:sz w:val="22"/>
        </w:rPr>
        <w:t>o</w:t>
      </w:r>
      <w:r w:rsidRPr="0031208D">
        <w:rPr>
          <w:noProof/>
          <w:sz w:val="22"/>
        </w:rPr>
        <w:t xml:space="preserve"> poročil</w:t>
      </w:r>
      <w:r w:rsidR="00117E08" w:rsidRPr="0031208D">
        <w:rPr>
          <w:noProof/>
          <w:sz w:val="22"/>
        </w:rPr>
        <w:t>o</w:t>
      </w:r>
      <w:r w:rsidRPr="0031208D">
        <w:rPr>
          <w:noProof/>
          <w:sz w:val="22"/>
        </w:rPr>
        <w:t xml:space="preserve"> o smotrnosti Instrumenta za finančno podporo za upravljanje meja in vizumsko politiko iz člena 29 Uredbe (EU) 2021/1148</w:t>
      </w:r>
    </w:p>
    <w:p w14:paraId="0C8CF487" w14:textId="77777777" w:rsidR="00AD502C" w:rsidRPr="0031208D" w:rsidRDefault="00AD502C" w:rsidP="00AD502C">
      <w:pPr>
        <w:pStyle w:val="ManualHeading1"/>
        <w:rPr>
          <w:noProof/>
          <w:sz w:val="22"/>
        </w:rPr>
      </w:pPr>
      <w:r w:rsidRPr="0031208D">
        <w:rPr>
          <w:noProof/>
          <w:sz w:val="22"/>
        </w:rPr>
        <w:t>OPREDELITEV</w:t>
      </w:r>
    </w:p>
    <w:tbl>
      <w:tblPr>
        <w:tblStyle w:val="Tabelasvetlamrea"/>
        <w:tblW w:w="0" w:type="auto"/>
        <w:tblLook w:val="04A0" w:firstRow="1" w:lastRow="0" w:firstColumn="1" w:lastColumn="0" w:noHBand="0" w:noVBand="1"/>
      </w:tblPr>
      <w:tblGrid>
        <w:gridCol w:w="4519"/>
        <w:gridCol w:w="4544"/>
      </w:tblGrid>
      <w:tr w:rsidR="0031208D" w:rsidRPr="0031208D" w14:paraId="05EC3DCB" w14:textId="77777777" w:rsidTr="00AD502C">
        <w:trPr>
          <w:trHeight w:val="285"/>
        </w:trPr>
        <w:tc>
          <w:tcPr>
            <w:tcW w:w="4637" w:type="dxa"/>
          </w:tcPr>
          <w:p w14:paraId="168D9DD6" w14:textId="77777777" w:rsidR="00AD502C" w:rsidRPr="0031208D" w:rsidRDefault="00AD502C" w:rsidP="00AD502C">
            <w:pPr>
              <w:pStyle w:val="Personnequisigne"/>
              <w:rPr>
                <w:i w:val="0"/>
                <w:iCs/>
                <w:noProof/>
                <w:sz w:val="22"/>
              </w:rPr>
            </w:pPr>
            <w:r w:rsidRPr="0031208D">
              <w:rPr>
                <w:i w:val="0"/>
                <w:iCs/>
                <w:noProof/>
                <w:sz w:val="22"/>
              </w:rPr>
              <w:t>CCI</w:t>
            </w:r>
          </w:p>
        </w:tc>
        <w:tc>
          <w:tcPr>
            <w:tcW w:w="4638" w:type="dxa"/>
          </w:tcPr>
          <w:p w14:paraId="51ECD676" w14:textId="77777777" w:rsidR="00AD502C" w:rsidRPr="0031208D" w:rsidRDefault="00342129" w:rsidP="00AD502C">
            <w:pPr>
              <w:pStyle w:val="Personnequisigne"/>
              <w:rPr>
                <w:i w:val="0"/>
                <w:iCs/>
                <w:noProof/>
                <w:sz w:val="22"/>
              </w:rPr>
            </w:pPr>
            <w:r w:rsidRPr="0031208D">
              <w:rPr>
                <w:i w:val="0"/>
                <w:iCs/>
                <w:noProof/>
                <w:sz w:val="22"/>
              </w:rPr>
              <w:t>2021SI65BVPR001</w:t>
            </w:r>
          </w:p>
        </w:tc>
      </w:tr>
      <w:tr w:rsidR="0031208D" w:rsidRPr="0031208D" w14:paraId="45BDBD02" w14:textId="77777777" w:rsidTr="00AD502C">
        <w:trPr>
          <w:trHeight w:val="277"/>
        </w:trPr>
        <w:tc>
          <w:tcPr>
            <w:tcW w:w="4637" w:type="dxa"/>
          </w:tcPr>
          <w:p w14:paraId="530B4ED1" w14:textId="77777777" w:rsidR="00AD502C" w:rsidRPr="0031208D" w:rsidRDefault="00AD502C" w:rsidP="00AD502C">
            <w:pPr>
              <w:pStyle w:val="Personnequisigne"/>
              <w:rPr>
                <w:i w:val="0"/>
                <w:iCs/>
                <w:noProof/>
                <w:sz w:val="22"/>
              </w:rPr>
            </w:pPr>
            <w:r w:rsidRPr="0031208D">
              <w:rPr>
                <w:i w:val="0"/>
                <w:iCs/>
                <w:noProof/>
                <w:sz w:val="22"/>
              </w:rPr>
              <w:t>Naslov</w:t>
            </w:r>
          </w:p>
        </w:tc>
        <w:tc>
          <w:tcPr>
            <w:tcW w:w="4638" w:type="dxa"/>
          </w:tcPr>
          <w:p w14:paraId="73DB78FF" w14:textId="77777777" w:rsidR="00AD502C" w:rsidRPr="0031208D" w:rsidRDefault="00342129" w:rsidP="00AD502C">
            <w:pPr>
              <w:pStyle w:val="Personnequisigne"/>
              <w:rPr>
                <w:i w:val="0"/>
                <w:iCs/>
                <w:noProof/>
                <w:sz w:val="22"/>
              </w:rPr>
            </w:pPr>
            <w:r w:rsidRPr="0031208D">
              <w:rPr>
                <w:i w:val="0"/>
                <w:iCs/>
                <w:noProof/>
                <w:sz w:val="22"/>
              </w:rPr>
              <w:t>Programme Slovenia-BMVI</w:t>
            </w:r>
          </w:p>
        </w:tc>
      </w:tr>
      <w:tr w:rsidR="0031208D" w:rsidRPr="0031208D" w14:paraId="6903176E" w14:textId="77777777" w:rsidTr="00AD502C">
        <w:trPr>
          <w:trHeight w:val="258"/>
        </w:trPr>
        <w:tc>
          <w:tcPr>
            <w:tcW w:w="4637" w:type="dxa"/>
          </w:tcPr>
          <w:p w14:paraId="1B08BEA2" w14:textId="77777777" w:rsidR="00AD502C" w:rsidRPr="0031208D" w:rsidRDefault="00AD502C" w:rsidP="00AD502C">
            <w:pPr>
              <w:pStyle w:val="Personnequisigne"/>
              <w:rPr>
                <w:i w:val="0"/>
                <w:iCs/>
                <w:noProof/>
                <w:sz w:val="22"/>
              </w:rPr>
            </w:pPr>
            <w:r w:rsidRPr="0031208D">
              <w:rPr>
                <w:i w:val="0"/>
                <w:iCs/>
                <w:noProof/>
                <w:sz w:val="22"/>
              </w:rPr>
              <w:t>Različica</w:t>
            </w:r>
          </w:p>
        </w:tc>
        <w:tc>
          <w:tcPr>
            <w:tcW w:w="4638" w:type="dxa"/>
          </w:tcPr>
          <w:p w14:paraId="39861C93" w14:textId="3AD6FCC9" w:rsidR="00AD502C" w:rsidRPr="0031208D" w:rsidRDefault="004560F7" w:rsidP="00AD502C">
            <w:pPr>
              <w:pStyle w:val="Personnequisigne"/>
              <w:rPr>
                <w:i w:val="0"/>
                <w:iCs/>
                <w:noProof/>
                <w:sz w:val="22"/>
              </w:rPr>
            </w:pPr>
            <w:r w:rsidRPr="0031208D">
              <w:rPr>
                <w:i w:val="0"/>
                <w:iCs/>
                <w:noProof/>
                <w:sz w:val="22"/>
              </w:rPr>
              <w:t>1</w:t>
            </w:r>
            <w:r w:rsidR="00342129" w:rsidRPr="0031208D">
              <w:rPr>
                <w:i w:val="0"/>
                <w:iCs/>
                <w:noProof/>
                <w:sz w:val="22"/>
              </w:rPr>
              <w:t>.0</w:t>
            </w:r>
          </w:p>
        </w:tc>
      </w:tr>
      <w:tr w:rsidR="0031208D" w:rsidRPr="0031208D" w14:paraId="58398963" w14:textId="77777777" w:rsidTr="00AD502C">
        <w:trPr>
          <w:trHeight w:val="269"/>
        </w:trPr>
        <w:tc>
          <w:tcPr>
            <w:tcW w:w="4637" w:type="dxa"/>
          </w:tcPr>
          <w:p w14:paraId="36A6C39C" w14:textId="77777777" w:rsidR="00AD502C" w:rsidRPr="0031208D" w:rsidRDefault="00AD502C" w:rsidP="00AD502C">
            <w:pPr>
              <w:pStyle w:val="Personnequisigne"/>
              <w:rPr>
                <w:i w:val="0"/>
                <w:iCs/>
                <w:noProof/>
                <w:sz w:val="22"/>
              </w:rPr>
            </w:pPr>
            <w:r w:rsidRPr="0031208D">
              <w:rPr>
                <w:i w:val="0"/>
                <w:iCs/>
                <w:noProof/>
                <w:sz w:val="22"/>
              </w:rPr>
              <w:t>Obračunsko leto</w:t>
            </w:r>
          </w:p>
        </w:tc>
        <w:tc>
          <w:tcPr>
            <w:tcW w:w="4638" w:type="dxa"/>
          </w:tcPr>
          <w:p w14:paraId="36AAF9AF" w14:textId="6416999D" w:rsidR="00AD502C" w:rsidRPr="0031208D" w:rsidRDefault="00CD048E" w:rsidP="00AD502C">
            <w:pPr>
              <w:pStyle w:val="Personnequisigne"/>
              <w:rPr>
                <w:i w:val="0"/>
                <w:iCs/>
                <w:noProof/>
                <w:sz w:val="22"/>
              </w:rPr>
            </w:pPr>
            <w:r w:rsidRPr="0031208D">
              <w:rPr>
                <w:i w:val="0"/>
                <w:iCs/>
                <w:noProof/>
                <w:sz w:val="22"/>
              </w:rPr>
              <w:t>1.7.202</w:t>
            </w:r>
            <w:r w:rsidR="004C110C" w:rsidRPr="0031208D">
              <w:rPr>
                <w:i w:val="0"/>
                <w:iCs/>
                <w:noProof/>
                <w:sz w:val="22"/>
              </w:rPr>
              <w:t>4</w:t>
            </w:r>
            <w:r w:rsidRPr="0031208D">
              <w:rPr>
                <w:i w:val="0"/>
                <w:iCs/>
                <w:noProof/>
                <w:sz w:val="22"/>
              </w:rPr>
              <w:t>-30.6.202</w:t>
            </w:r>
            <w:r w:rsidR="004C110C" w:rsidRPr="0031208D">
              <w:rPr>
                <w:i w:val="0"/>
                <w:iCs/>
                <w:noProof/>
                <w:sz w:val="22"/>
              </w:rPr>
              <w:t>5</w:t>
            </w:r>
          </w:p>
        </w:tc>
      </w:tr>
      <w:tr w:rsidR="0031208D" w:rsidRPr="0031208D" w14:paraId="141DC84F" w14:textId="77777777" w:rsidTr="00AD502C">
        <w:trPr>
          <w:trHeight w:val="116"/>
        </w:trPr>
        <w:tc>
          <w:tcPr>
            <w:tcW w:w="4637" w:type="dxa"/>
          </w:tcPr>
          <w:p w14:paraId="32587A80" w14:textId="77777777" w:rsidR="00AD502C" w:rsidRPr="0031208D" w:rsidRDefault="00AD502C" w:rsidP="00AD502C">
            <w:pPr>
              <w:pStyle w:val="Personnequisigne"/>
              <w:rPr>
                <w:i w:val="0"/>
                <w:iCs/>
                <w:noProof/>
                <w:sz w:val="22"/>
              </w:rPr>
            </w:pPr>
            <w:r w:rsidRPr="0031208D">
              <w:rPr>
                <w:i w:val="0"/>
                <w:iCs/>
                <w:noProof/>
                <w:sz w:val="22"/>
              </w:rPr>
              <w:t>Datum potrditve poročila s strani odbora za spremljanje</w:t>
            </w:r>
          </w:p>
        </w:tc>
        <w:tc>
          <w:tcPr>
            <w:tcW w:w="4638" w:type="dxa"/>
          </w:tcPr>
          <w:p w14:paraId="07604AAF" w14:textId="77777777" w:rsidR="00AD502C" w:rsidRPr="0031208D" w:rsidRDefault="00AD502C" w:rsidP="00AD502C">
            <w:pPr>
              <w:pStyle w:val="Personnequisigne"/>
              <w:rPr>
                <w:i w:val="0"/>
                <w:iCs/>
                <w:noProof/>
                <w:sz w:val="22"/>
              </w:rPr>
            </w:pPr>
          </w:p>
        </w:tc>
      </w:tr>
    </w:tbl>
    <w:p w14:paraId="559A4308" w14:textId="77777777" w:rsidR="00AD502C" w:rsidRPr="0031208D" w:rsidRDefault="001C1609" w:rsidP="001C1609">
      <w:pPr>
        <w:pStyle w:val="ManualHeading1"/>
        <w:rPr>
          <w:noProof/>
          <w:sz w:val="22"/>
        </w:rPr>
      </w:pPr>
      <w:r w:rsidRPr="0031208D">
        <w:rPr>
          <w:sz w:val="22"/>
        </w:rPr>
        <w:t>1.</w:t>
      </w:r>
      <w:r w:rsidRPr="0031208D">
        <w:rPr>
          <w:sz w:val="22"/>
        </w:rPr>
        <w:tab/>
      </w:r>
      <w:r w:rsidR="00AD502C" w:rsidRPr="0031208D">
        <w:rPr>
          <w:noProof/>
          <w:sz w:val="22"/>
        </w:rPr>
        <w:t>Smotrnost</w:t>
      </w:r>
    </w:p>
    <w:p w14:paraId="1A0A7CEC" w14:textId="77777777" w:rsidR="00AD502C" w:rsidRPr="0031208D" w:rsidRDefault="001C1609" w:rsidP="001C1609">
      <w:pPr>
        <w:pStyle w:val="ManualHeading2"/>
        <w:rPr>
          <w:noProof/>
          <w:sz w:val="22"/>
        </w:rPr>
      </w:pPr>
      <w:r w:rsidRPr="0031208D">
        <w:rPr>
          <w:sz w:val="22"/>
        </w:rPr>
        <w:t>1.1.</w:t>
      </w:r>
      <w:r w:rsidRPr="0031208D">
        <w:rPr>
          <w:sz w:val="22"/>
        </w:rPr>
        <w:tab/>
      </w:r>
      <w:r w:rsidR="00AD502C" w:rsidRPr="0031208D">
        <w:rPr>
          <w:noProof/>
          <w:sz w:val="22"/>
        </w:rPr>
        <w:t>Napredek pri izvajanju – člen 29(2), točka (a), Uredbe (EU) 2021/1148</w:t>
      </w:r>
    </w:p>
    <w:p w14:paraId="1F673C9B" w14:textId="77777777" w:rsidR="00AD502C" w:rsidRPr="0031208D" w:rsidRDefault="00AD502C" w:rsidP="00AD502C">
      <w:pPr>
        <w:rPr>
          <w:noProof/>
          <w:sz w:val="22"/>
        </w:rPr>
      </w:pPr>
      <w:r w:rsidRPr="0031208D">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568CDC1A" w14:textId="77777777" w:rsidR="00AD502C" w:rsidRPr="0031208D" w:rsidRDefault="00AD502C" w:rsidP="00AD502C">
      <w:pPr>
        <w:rPr>
          <w:noProof/>
          <w:sz w:val="22"/>
        </w:rPr>
      </w:pPr>
      <w:r w:rsidRPr="0031208D">
        <w:rPr>
          <w:noProof/>
          <w:sz w:val="22"/>
        </w:rPr>
        <w:t xml:space="preserve">V okviru vsakega specifičnega cilja bi morale biti informacije o napredku po možnosti strukturirane po izvedbenih ukrepih, okvirnih ukrepih in želenih rezultatih, opredeljenih v programu. </w:t>
      </w:r>
    </w:p>
    <w:p w14:paraId="74E4AA75" w14:textId="77777777" w:rsidR="00AD502C" w:rsidRPr="0031208D" w:rsidRDefault="005A3D19" w:rsidP="00AD502C">
      <w:pPr>
        <w:rPr>
          <w:noProof/>
          <w:sz w:val="22"/>
        </w:rPr>
      </w:pPr>
      <w:r w:rsidRPr="0031208D">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063"/>
      </w:tblGrid>
      <w:tr w:rsidR="0031208D" w:rsidRPr="0031208D" w14:paraId="00A1A4CC" w14:textId="77777777" w:rsidTr="0009741A">
        <w:trPr>
          <w:trHeight w:val="5801"/>
        </w:trPr>
        <w:tc>
          <w:tcPr>
            <w:tcW w:w="9289" w:type="dxa"/>
          </w:tcPr>
          <w:p w14:paraId="315BE461" w14:textId="6639F5EB" w:rsidR="0054449F" w:rsidRPr="0031208D" w:rsidRDefault="0054449F" w:rsidP="0054449F">
            <w:pPr>
              <w:pStyle w:val="Personnequisigne"/>
              <w:jc w:val="both"/>
              <w:rPr>
                <w:i w:val="0"/>
                <w:sz w:val="22"/>
              </w:rPr>
            </w:pPr>
            <w:bookmarkStart w:id="0" w:name="_Hlk224912980"/>
            <w:r w:rsidRPr="0031208D">
              <w:rPr>
                <w:i w:val="0"/>
                <w:sz w:val="22"/>
              </w:rPr>
              <w:t>Slovenija je v obračunskem obdobju poročanja, tj. od 1.</w:t>
            </w:r>
            <w:r w:rsidR="007215C1" w:rsidRPr="0031208D">
              <w:rPr>
                <w:i w:val="0"/>
                <w:sz w:val="22"/>
              </w:rPr>
              <w:t> </w:t>
            </w:r>
            <w:r w:rsidRPr="0031208D">
              <w:rPr>
                <w:i w:val="0"/>
                <w:sz w:val="22"/>
              </w:rPr>
              <w:t>7.</w:t>
            </w:r>
            <w:r w:rsidR="007215C1" w:rsidRPr="0031208D">
              <w:rPr>
                <w:i w:val="0"/>
                <w:sz w:val="22"/>
              </w:rPr>
              <w:t> </w:t>
            </w:r>
            <w:r w:rsidRPr="0031208D">
              <w:rPr>
                <w:i w:val="0"/>
                <w:sz w:val="22"/>
              </w:rPr>
              <w:t>2024 do 30.</w:t>
            </w:r>
            <w:r w:rsidR="007215C1" w:rsidRPr="0031208D">
              <w:rPr>
                <w:i w:val="0"/>
                <w:sz w:val="22"/>
              </w:rPr>
              <w:t> </w:t>
            </w:r>
            <w:r w:rsidRPr="0031208D">
              <w:rPr>
                <w:i w:val="0"/>
                <w:sz w:val="22"/>
              </w:rPr>
              <w:t>6.</w:t>
            </w:r>
            <w:r w:rsidR="007215C1" w:rsidRPr="0031208D">
              <w:rPr>
                <w:i w:val="0"/>
                <w:sz w:val="22"/>
              </w:rPr>
              <w:t> </w:t>
            </w:r>
            <w:r w:rsidRPr="0031208D">
              <w:rPr>
                <w:i w:val="0"/>
                <w:sz w:val="22"/>
              </w:rPr>
              <w:t>2025, izvajala večino načrtovanih aktivnosti iz programa, ki so po novi schengenski ureditvi še vedno upravičene.</w:t>
            </w:r>
          </w:p>
          <w:p w14:paraId="2D55301C" w14:textId="77777777" w:rsidR="0054449F" w:rsidRPr="0031208D" w:rsidRDefault="0054449F" w:rsidP="0054449F">
            <w:pPr>
              <w:pStyle w:val="Personnequisigne"/>
              <w:jc w:val="both"/>
              <w:rPr>
                <w:i w:val="0"/>
                <w:sz w:val="22"/>
              </w:rPr>
            </w:pPr>
          </w:p>
          <w:p w14:paraId="382377F7" w14:textId="7C38F0D0" w:rsidR="0054449F" w:rsidRPr="0031208D" w:rsidRDefault="0054449F" w:rsidP="0054449F">
            <w:pPr>
              <w:pStyle w:val="Personnequisigne"/>
              <w:jc w:val="both"/>
              <w:rPr>
                <w:i w:val="0"/>
                <w:sz w:val="22"/>
              </w:rPr>
            </w:pPr>
            <w:r w:rsidRPr="0031208D">
              <w:rPr>
                <w:i w:val="0"/>
                <w:sz w:val="22"/>
              </w:rPr>
              <w:t xml:space="preserve">V tem obdobju je bila potrjena nova različica programa (verzija 2.0), s katero je bilo 5 % sredstev prenesenih na program SNV. Temu je sledila intenzivna priprava in usklajevanje nadaljnje posodobitve programa (verzija 3.0), ki odraža spremenjene potrebe Slovenije ter vključuje nove aktivnosti, povezane z dodatnimi sredstvi. V proces priprave in usklajevanja so bili vključeni vsi relevantni deležniki in njihove potrebe, vključno </w:t>
            </w:r>
            <w:r w:rsidR="007215C1" w:rsidRPr="0031208D">
              <w:rPr>
                <w:i w:val="0"/>
                <w:sz w:val="22"/>
              </w:rPr>
              <w:t>s</w:t>
            </w:r>
            <w:r w:rsidRPr="0031208D">
              <w:rPr>
                <w:i w:val="0"/>
                <w:sz w:val="22"/>
              </w:rPr>
              <w:t xml:space="preserve"> pristojnimi ministrstvi, izvajalskimi organi ter drugimi ključnimi partnerji, ki sodelujejo pri izvajanju programa. Vključevanje partnerstva je bilo dodatno zagotovljeno preko Odbora za spremljanje, kjer je bil predlog sprememb programa obravnavan in potrjen.</w:t>
            </w:r>
          </w:p>
          <w:p w14:paraId="43BE17BF" w14:textId="77777777" w:rsidR="0054449F" w:rsidRPr="0031208D" w:rsidRDefault="0054449F" w:rsidP="0054449F">
            <w:pPr>
              <w:rPr>
                <w:sz w:val="22"/>
              </w:rPr>
            </w:pPr>
            <w:r w:rsidRPr="0031208D">
              <w:rPr>
                <w:sz w:val="22"/>
              </w:rPr>
              <w:t>Akcijski načrt IUMV za dodelitev sredstev je bil v tem obdobju dvakrat posodobljen (verziji 4.0 in 5.0) in vključuje 46 upravičenih operacij v okvirni vrednosti 50 mio EUR. Od teh se je v obdobju poročanja aktivno izvajala približno polovica operacij, medtem ko so bile preostale v fazi priprave, zlasti v postopkih javnega naročanja. Posledično se pričakuje, da bo finančna realizacija teh operacij vidna v naslednjih obračunskih obdobjih. Drugačno je stanje pri operativni podpori, kjer se aktivnosti izvajajo kontinuirano in skladno z načrtovano dinamiko, kar se odraža v višji stopnji finančne realizacije v primerjavi z drugimi vrstami operacij.</w:t>
            </w:r>
          </w:p>
          <w:p w14:paraId="6EA1CC22" w14:textId="1B5A935B" w:rsidR="0054449F" w:rsidRPr="0031208D" w:rsidRDefault="0054449F" w:rsidP="0054449F">
            <w:pPr>
              <w:rPr>
                <w:sz w:val="22"/>
              </w:rPr>
            </w:pPr>
            <w:r w:rsidRPr="0031208D">
              <w:rPr>
                <w:sz w:val="22"/>
              </w:rPr>
              <w:t xml:space="preserve">Cilj ukrepov v okviru </w:t>
            </w:r>
            <w:r w:rsidRPr="0031208D">
              <w:rPr>
                <w:b/>
                <w:sz w:val="22"/>
              </w:rPr>
              <w:t>Specifičnega cilja 1</w:t>
            </w:r>
            <w:r w:rsidRPr="0031208D">
              <w:rPr>
                <w:sz w:val="22"/>
              </w:rPr>
              <w:t xml:space="preserve"> je preprečevanje nedovoljenih prehodov meja, nezakonitega priseljevanja in čezmejnih kaznivih dejanj ter krepitev migracijskih tokov na način, da se olajša pretok potnikov prek </w:t>
            </w:r>
            <w:r w:rsidR="007215C1" w:rsidRPr="0031208D">
              <w:rPr>
                <w:sz w:val="22"/>
              </w:rPr>
              <w:t>mejnih prehodov (</w:t>
            </w:r>
            <w:r w:rsidRPr="0031208D">
              <w:rPr>
                <w:sz w:val="22"/>
              </w:rPr>
              <w:t>MP</w:t>
            </w:r>
            <w:r w:rsidR="007215C1" w:rsidRPr="0031208D">
              <w:rPr>
                <w:sz w:val="22"/>
              </w:rPr>
              <w:t>)</w:t>
            </w:r>
            <w:r w:rsidRPr="0031208D">
              <w:rPr>
                <w:sz w:val="22"/>
              </w:rPr>
              <w:t xml:space="preserve"> in varuje prosto gibanje v schengenskem območju. Ključni resor je Ministrstvo za notranje zadeve, Policija. </w:t>
            </w:r>
          </w:p>
          <w:p w14:paraId="502114B5" w14:textId="605B9469" w:rsidR="0054449F" w:rsidRPr="0031208D" w:rsidRDefault="0054449F" w:rsidP="0054449F">
            <w:pPr>
              <w:rPr>
                <w:sz w:val="22"/>
              </w:rPr>
            </w:pPr>
            <w:r w:rsidRPr="0031208D">
              <w:rPr>
                <w:sz w:val="22"/>
              </w:rPr>
              <w:t xml:space="preserve">Za okrepitev nadzora na zunanjih mejah </w:t>
            </w:r>
            <w:r w:rsidRPr="0031208D">
              <w:rPr>
                <w:b/>
                <w:sz w:val="22"/>
              </w:rPr>
              <w:t>(ukrep 1a(i))</w:t>
            </w:r>
            <w:r w:rsidRPr="0031208D">
              <w:rPr>
                <w:sz w:val="22"/>
              </w:rPr>
              <w:t xml:space="preserve"> se financira delovanje </w:t>
            </w:r>
            <w:r w:rsidRPr="0031208D">
              <w:rPr>
                <w:b/>
                <w:sz w:val="22"/>
              </w:rPr>
              <w:t>Mednarodnega prostora za zavrnjene državljane tretjih držav (DTD),</w:t>
            </w:r>
            <w:r w:rsidRPr="0031208D">
              <w:rPr>
                <w:sz w:val="22"/>
              </w:rPr>
              <w:t xml:space="preserve"> kje</w:t>
            </w:r>
            <w:r w:rsidR="00957530" w:rsidRPr="0031208D">
              <w:rPr>
                <w:sz w:val="22"/>
              </w:rPr>
              <w:t>r</w:t>
            </w:r>
            <w:r w:rsidRPr="0031208D">
              <w:rPr>
                <w:sz w:val="22"/>
              </w:rPr>
              <w:t xml:space="preserve"> je bilo nastanjenih 117 zavrnjenih potnikov (DTD), ki niso izpolnjevali pogojev za vstop. Prav tako se financira</w:t>
            </w:r>
            <w:r w:rsidRPr="0031208D">
              <w:rPr>
                <w:b/>
                <w:sz w:val="22"/>
              </w:rPr>
              <w:t xml:space="preserve"> </w:t>
            </w:r>
            <w:r w:rsidRPr="0031208D">
              <w:rPr>
                <w:sz w:val="22"/>
              </w:rPr>
              <w:t>delovanje</w:t>
            </w:r>
            <w:r w:rsidRPr="0031208D">
              <w:rPr>
                <w:b/>
                <w:sz w:val="22"/>
              </w:rPr>
              <w:t xml:space="preserve"> uradnikov za zvezo za priseljevanje</w:t>
            </w:r>
            <w:r w:rsidRPr="0031208D">
              <w:rPr>
                <w:bCs/>
                <w:sz w:val="22"/>
              </w:rPr>
              <w:t>, v</w:t>
            </w:r>
            <w:r w:rsidRPr="0031208D">
              <w:rPr>
                <w:sz w:val="22"/>
              </w:rPr>
              <w:t xml:space="preserve"> tem obdobju so bili napoteni trije.</w:t>
            </w:r>
          </w:p>
          <w:p w14:paraId="20245460" w14:textId="77777777" w:rsidR="0054449F" w:rsidRPr="0031208D" w:rsidRDefault="0054449F" w:rsidP="0054449F">
            <w:pPr>
              <w:rPr>
                <w:sz w:val="22"/>
              </w:rPr>
            </w:pPr>
            <w:r w:rsidRPr="0031208D">
              <w:rPr>
                <w:b/>
                <w:sz w:val="22"/>
              </w:rPr>
              <w:lastRenderedPageBreak/>
              <w:t xml:space="preserve">Strateška podpora analizam tveganja (ukrep 1a(iii)) </w:t>
            </w:r>
            <w:r w:rsidRPr="0031208D">
              <w:rPr>
                <w:sz w:val="22"/>
              </w:rPr>
              <w:t xml:space="preserve">se izvaja v skladu Schengensko evalvacijo in </w:t>
            </w:r>
            <w:proofErr w:type="spellStart"/>
            <w:r w:rsidRPr="0031208D">
              <w:rPr>
                <w:sz w:val="22"/>
              </w:rPr>
              <w:t>Frontexovo</w:t>
            </w:r>
            <w:proofErr w:type="spellEnd"/>
            <w:r w:rsidRPr="0031208D">
              <w:rPr>
                <w:sz w:val="22"/>
              </w:rPr>
              <w:t xml:space="preserve"> oceno »</w:t>
            </w:r>
            <w:proofErr w:type="spellStart"/>
            <w:r w:rsidRPr="0031208D">
              <w:rPr>
                <w:sz w:val="22"/>
              </w:rPr>
              <w:t>Vulnerability</w:t>
            </w:r>
            <w:proofErr w:type="spellEnd"/>
            <w:r w:rsidRPr="0031208D">
              <w:rPr>
                <w:sz w:val="22"/>
              </w:rPr>
              <w:t xml:space="preserve"> </w:t>
            </w:r>
            <w:proofErr w:type="spellStart"/>
            <w:r w:rsidRPr="0031208D">
              <w:rPr>
                <w:sz w:val="22"/>
              </w:rPr>
              <w:t>Assessment</w:t>
            </w:r>
            <w:proofErr w:type="spellEnd"/>
            <w:r w:rsidRPr="0031208D">
              <w:rPr>
                <w:sz w:val="22"/>
              </w:rPr>
              <w:t>«, za izboljšanje sistema dela in usposobljenosti na področju priprave analiz tveganja. Z nakupom strojne opreme in posebnih programskih orodij (komercialnih baz podatkov za potrebe mejne kontrole) je olajšana in izboljšana kakovost analiz tveganj.</w:t>
            </w:r>
          </w:p>
          <w:p w14:paraId="2CC59A94" w14:textId="676735F8" w:rsidR="0054449F" w:rsidRPr="0031208D" w:rsidRDefault="0054449F" w:rsidP="0054449F">
            <w:pPr>
              <w:rPr>
                <w:sz w:val="22"/>
              </w:rPr>
            </w:pPr>
            <w:r w:rsidRPr="0031208D">
              <w:rPr>
                <w:sz w:val="22"/>
              </w:rPr>
              <w:t xml:space="preserve">V okviru </w:t>
            </w:r>
            <w:r w:rsidRPr="0031208D">
              <w:rPr>
                <w:b/>
                <w:sz w:val="22"/>
              </w:rPr>
              <w:t>ukrep</w:t>
            </w:r>
            <w:r w:rsidR="00957530" w:rsidRPr="0031208D">
              <w:rPr>
                <w:b/>
                <w:sz w:val="22"/>
              </w:rPr>
              <w:t>a</w:t>
            </w:r>
            <w:r w:rsidRPr="0031208D">
              <w:rPr>
                <w:b/>
                <w:sz w:val="22"/>
              </w:rPr>
              <w:t xml:space="preserve"> 1d</w:t>
            </w:r>
            <w:r w:rsidRPr="0031208D">
              <w:rPr>
                <w:sz w:val="22"/>
              </w:rPr>
              <w:t xml:space="preserve">, s ciljem enotne uporabe pravnega reda EU, se krijejo stroški </w:t>
            </w:r>
            <w:r w:rsidRPr="0031208D">
              <w:rPr>
                <w:b/>
                <w:sz w:val="22"/>
              </w:rPr>
              <w:t xml:space="preserve">sodelovanja ekspertov na schengenskih evalvacijah. </w:t>
            </w:r>
            <w:r w:rsidRPr="0031208D">
              <w:rPr>
                <w:sz w:val="22"/>
              </w:rPr>
              <w:t xml:space="preserve">V tem obdobju je pri evalvacijah sodelovalo 12 oseb, organiziran je bil tudi </w:t>
            </w:r>
            <w:proofErr w:type="spellStart"/>
            <w:r w:rsidRPr="0031208D">
              <w:rPr>
                <w:sz w:val="22"/>
              </w:rPr>
              <w:t>evalvacijski</w:t>
            </w:r>
            <w:proofErr w:type="spellEnd"/>
            <w:r w:rsidRPr="0031208D">
              <w:rPr>
                <w:sz w:val="22"/>
              </w:rPr>
              <w:t xml:space="preserve"> sestanek v Sloveniji.</w:t>
            </w:r>
          </w:p>
          <w:p w14:paraId="33C7DFFB" w14:textId="7D5FA23A" w:rsidR="0054449F" w:rsidRPr="0031208D" w:rsidRDefault="0054449F" w:rsidP="0054449F">
            <w:pPr>
              <w:rPr>
                <w:sz w:val="22"/>
              </w:rPr>
            </w:pPr>
            <w:r w:rsidRPr="0031208D">
              <w:rPr>
                <w:sz w:val="22"/>
              </w:rPr>
              <w:t xml:space="preserve">Načrtovane so investicije v pomorsko opremo, sistem EUROSUR in za vzpostavitev </w:t>
            </w:r>
            <w:r w:rsidRPr="0031208D">
              <w:rPr>
                <w:b/>
                <w:sz w:val="22"/>
              </w:rPr>
              <w:t>nacionalnega koordinacijskega centra</w:t>
            </w:r>
            <w:r w:rsidRPr="0031208D">
              <w:rPr>
                <w:sz w:val="22"/>
              </w:rPr>
              <w:t>, s ciljem izboljšanj</w:t>
            </w:r>
            <w:r w:rsidR="00957530" w:rsidRPr="0031208D">
              <w:rPr>
                <w:sz w:val="22"/>
              </w:rPr>
              <w:t>a</w:t>
            </w:r>
            <w:r w:rsidRPr="0031208D">
              <w:rPr>
                <w:sz w:val="22"/>
              </w:rPr>
              <w:t xml:space="preserve"> delovnih pogojev in skrajšanj</w:t>
            </w:r>
            <w:r w:rsidR="00957530" w:rsidRPr="0031208D">
              <w:rPr>
                <w:sz w:val="22"/>
              </w:rPr>
              <w:t>a</w:t>
            </w:r>
            <w:r w:rsidRPr="0031208D">
              <w:rPr>
                <w:sz w:val="22"/>
              </w:rPr>
              <w:t xml:space="preserve"> delovnih procesov za posredovanje podatkov v nadaljnjo obdelavo - v tem obdobju se je izdelala projektna dokumentacija. Načrtovana je </w:t>
            </w:r>
            <w:r w:rsidRPr="0031208D">
              <w:rPr>
                <w:b/>
                <w:bCs/>
                <w:sz w:val="22"/>
              </w:rPr>
              <w:t>p</w:t>
            </w:r>
            <w:r w:rsidRPr="0031208D">
              <w:rPr>
                <w:b/>
                <w:sz w:val="22"/>
              </w:rPr>
              <w:t xml:space="preserve">renova sistema EUROSUR </w:t>
            </w:r>
            <w:r w:rsidRPr="0031208D">
              <w:rPr>
                <w:bCs/>
                <w:sz w:val="22"/>
              </w:rPr>
              <w:t>(</w:t>
            </w:r>
            <w:r w:rsidRPr="0031208D">
              <w:rPr>
                <w:sz w:val="22"/>
              </w:rPr>
              <w:t xml:space="preserve">zamenjava celotne opreme </w:t>
            </w:r>
            <w:r w:rsidR="00957530" w:rsidRPr="0031208D">
              <w:rPr>
                <w:sz w:val="22"/>
              </w:rPr>
              <w:t xml:space="preserve">za </w:t>
            </w:r>
            <w:r w:rsidRPr="0031208D">
              <w:rPr>
                <w:sz w:val="22"/>
              </w:rPr>
              <w:t xml:space="preserve">ustrezne podatke višje stopnje tajnosti). Načrtovano je tudi </w:t>
            </w:r>
            <w:r w:rsidRPr="0031208D">
              <w:rPr>
                <w:b/>
                <w:sz w:val="22"/>
              </w:rPr>
              <w:t>vzdrževanje pomorskega radarskega sistema</w:t>
            </w:r>
            <w:r w:rsidRPr="0031208D">
              <w:rPr>
                <w:sz w:val="22"/>
              </w:rPr>
              <w:t xml:space="preserve"> za zagotavljanje operativne razpoložljivosti tehničnih sredstev, ki pa se še ne izvaja.</w:t>
            </w:r>
          </w:p>
          <w:p w14:paraId="15E86D36" w14:textId="77777777" w:rsidR="0054449F" w:rsidRPr="0031208D" w:rsidRDefault="0054449F" w:rsidP="0054449F">
            <w:pPr>
              <w:rPr>
                <w:sz w:val="22"/>
              </w:rPr>
            </w:pPr>
            <w:r w:rsidRPr="0031208D">
              <w:rPr>
                <w:sz w:val="22"/>
              </w:rPr>
              <w:t>Izveden je bil nakup treh vozil</w:t>
            </w:r>
            <w:r w:rsidRPr="0031208D">
              <w:rPr>
                <w:b/>
                <w:sz w:val="22"/>
              </w:rPr>
              <w:t xml:space="preserve"> za nadzor kopenske meje in mejno kontrolo </w:t>
            </w:r>
            <w:r w:rsidRPr="0031208D">
              <w:rPr>
                <w:bCs/>
                <w:sz w:val="22"/>
              </w:rPr>
              <w:t>(za skupne operacije na zunanjih mejah)</w:t>
            </w:r>
            <w:r w:rsidRPr="0031208D">
              <w:rPr>
                <w:sz w:val="22"/>
              </w:rPr>
              <w:t>, ki bodo nominirana v Frontex nabor tehnične opreme.</w:t>
            </w:r>
          </w:p>
          <w:p w14:paraId="10B27FF8" w14:textId="77777777" w:rsidR="0054449F" w:rsidRPr="0031208D" w:rsidRDefault="0054449F" w:rsidP="0054449F">
            <w:pPr>
              <w:rPr>
                <w:sz w:val="22"/>
              </w:rPr>
            </w:pPr>
            <w:r w:rsidRPr="0031208D">
              <w:rPr>
                <w:b/>
                <w:sz w:val="22"/>
              </w:rPr>
              <w:t xml:space="preserve">Izvedbeni ukrep 1e </w:t>
            </w:r>
            <w:r w:rsidRPr="0031208D">
              <w:rPr>
                <w:sz w:val="22"/>
              </w:rPr>
              <w:t>zagotavlja vzpostavitev in delovanje velikih IT sistemov. V tem obdobju so se razvijale rešitve in prilagoditve za EES</w:t>
            </w:r>
            <w:r w:rsidRPr="0031208D">
              <w:rPr>
                <w:b/>
                <w:sz w:val="22"/>
              </w:rPr>
              <w:t xml:space="preserve"> (</w:t>
            </w:r>
            <w:proofErr w:type="spellStart"/>
            <w:r w:rsidRPr="0031208D">
              <w:rPr>
                <w:b/>
                <w:sz w:val="22"/>
              </w:rPr>
              <w:t>insourceing</w:t>
            </w:r>
            <w:proofErr w:type="spellEnd"/>
            <w:r w:rsidRPr="0031208D">
              <w:rPr>
                <w:b/>
                <w:sz w:val="22"/>
              </w:rPr>
              <w:t xml:space="preserve"> EES)</w:t>
            </w:r>
            <w:r w:rsidRPr="0031208D">
              <w:rPr>
                <w:sz w:val="22"/>
              </w:rPr>
              <w:t xml:space="preserve">, aplikativna rešitev je bila uspešno podvržena </w:t>
            </w:r>
            <w:proofErr w:type="spellStart"/>
            <w:r w:rsidRPr="0031208D">
              <w:rPr>
                <w:sz w:val="22"/>
              </w:rPr>
              <w:t>skladnostnim</w:t>
            </w:r>
            <w:proofErr w:type="spellEnd"/>
            <w:r w:rsidRPr="0031208D">
              <w:rPr>
                <w:sz w:val="22"/>
              </w:rPr>
              <w:t xml:space="preserve"> testom. V teku je tudi prilagoditev potrebam uporabnikov in zahtevam centralnega sistema.</w:t>
            </w:r>
          </w:p>
          <w:p w14:paraId="2AE40E48" w14:textId="77777777" w:rsidR="0054449F" w:rsidRPr="0031208D" w:rsidRDefault="0054449F" w:rsidP="0054449F">
            <w:pPr>
              <w:rPr>
                <w:sz w:val="22"/>
              </w:rPr>
            </w:pPr>
            <w:r w:rsidRPr="0031208D">
              <w:rPr>
                <w:sz w:val="22"/>
              </w:rPr>
              <w:t>Za vzpostavitev</w:t>
            </w:r>
            <w:r w:rsidRPr="0031208D">
              <w:rPr>
                <w:b/>
                <w:sz w:val="22"/>
              </w:rPr>
              <w:t xml:space="preserve"> PKI infrastrukture</w:t>
            </w:r>
            <w:r w:rsidRPr="0031208D">
              <w:rPr>
                <w:bCs/>
                <w:sz w:val="22"/>
              </w:rPr>
              <w:t>,</w:t>
            </w:r>
            <w:r w:rsidRPr="0031208D">
              <w:rPr>
                <w:b/>
                <w:sz w:val="22"/>
              </w:rPr>
              <w:t xml:space="preserve"> </w:t>
            </w:r>
            <w:r w:rsidRPr="0031208D">
              <w:rPr>
                <w:sz w:val="22"/>
              </w:rPr>
              <w:t xml:space="preserve">potrebne za izvajanje popolne mejne kontrole vključno s pasivno in terminalsko </w:t>
            </w:r>
            <w:proofErr w:type="spellStart"/>
            <w:r w:rsidRPr="0031208D">
              <w:rPr>
                <w:sz w:val="22"/>
              </w:rPr>
              <w:t>avtentikacijo</w:t>
            </w:r>
            <w:proofErr w:type="spellEnd"/>
            <w:r w:rsidRPr="0031208D">
              <w:rPr>
                <w:sz w:val="22"/>
              </w:rPr>
              <w:t xml:space="preserve"> ter možnostjo dostopov do prstnih odtisov na e-potovalnih listinah, je bilo izvedeno javno naročilo za vzdrževanje sistema za digitalno overjanje.</w:t>
            </w:r>
          </w:p>
          <w:p w14:paraId="0A04BB0C" w14:textId="77777777" w:rsidR="0054449F" w:rsidRPr="0031208D" w:rsidRDefault="0054449F" w:rsidP="0054449F">
            <w:pPr>
              <w:rPr>
                <w:sz w:val="22"/>
              </w:rPr>
            </w:pPr>
            <w:r w:rsidRPr="0031208D">
              <w:rPr>
                <w:sz w:val="22"/>
              </w:rPr>
              <w:t xml:space="preserve">Trenutno poteka razvoj aplikacij za </w:t>
            </w:r>
            <w:r w:rsidRPr="0031208D">
              <w:rPr>
                <w:b/>
                <w:sz w:val="22"/>
              </w:rPr>
              <w:t>združljivost obstoječih in novih velikih informacijskih sistemov EU</w:t>
            </w:r>
            <w:r w:rsidRPr="0031208D">
              <w:rPr>
                <w:bCs/>
                <w:sz w:val="22"/>
              </w:rPr>
              <w:t>, skladno</w:t>
            </w:r>
            <w:r w:rsidRPr="0031208D">
              <w:rPr>
                <w:sz w:val="22"/>
              </w:rPr>
              <w:t xml:space="preserve"> z Zakonikom o Schengenskih mejah in Uredbo EES. Prav tako poteka priprava tehnične specifikacije za prilagoditev nacionalnih informacijskih rešitev (SIS, EES, ETIAS).</w:t>
            </w:r>
          </w:p>
          <w:p w14:paraId="72887B7F" w14:textId="145BDDD4" w:rsidR="0054449F" w:rsidRPr="0031208D" w:rsidRDefault="0054449F" w:rsidP="0054449F">
            <w:pPr>
              <w:rPr>
                <w:sz w:val="22"/>
              </w:rPr>
            </w:pPr>
            <w:r w:rsidRPr="0031208D">
              <w:rPr>
                <w:sz w:val="22"/>
              </w:rPr>
              <w:t xml:space="preserve">Izpolnitev zahtev EU uredbe </w:t>
            </w:r>
            <w:r w:rsidRPr="0031208D">
              <w:rPr>
                <w:b/>
                <w:sz w:val="22"/>
              </w:rPr>
              <w:t>ETIAS</w:t>
            </w:r>
            <w:r w:rsidRPr="0031208D">
              <w:rPr>
                <w:sz w:val="22"/>
              </w:rPr>
              <w:t xml:space="preserve"> bo izvedena po vzpostavitvi sistema </w:t>
            </w:r>
            <w:proofErr w:type="spellStart"/>
            <w:r w:rsidRPr="0031208D">
              <w:rPr>
                <w:sz w:val="22"/>
              </w:rPr>
              <w:t>eu</w:t>
            </w:r>
            <w:proofErr w:type="spellEnd"/>
            <w:r w:rsidRPr="0031208D">
              <w:rPr>
                <w:sz w:val="22"/>
              </w:rPr>
              <w:t>-LIS</w:t>
            </w:r>
            <w:r w:rsidR="00957530" w:rsidRPr="0031208D">
              <w:rPr>
                <w:sz w:val="22"/>
              </w:rPr>
              <w:t>A</w:t>
            </w:r>
            <w:r w:rsidRPr="0031208D">
              <w:rPr>
                <w:sz w:val="22"/>
              </w:rPr>
              <w:t xml:space="preserve">, kot tudi </w:t>
            </w:r>
            <w:r w:rsidRPr="0031208D">
              <w:rPr>
                <w:b/>
                <w:sz w:val="22"/>
              </w:rPr>
              <w:t>usposabljanja, študijski obiski in delovni sestanki</w:t>
            </w:r>
            <w:r w:rsidRPr="0031208D">
              <w:rPr>
                <w:sz w:val="22"/>
              </w:rPr>
              <w:t xml:space="preserve">, testiranje in razvoj na nacionalni ravni pa sta v teku. V okviru </w:t>
            </w:r>
            <w:r w:rsidRPr="0031208D">
              <w:rPr>
                <w:b/>
                <w:sz w:val="22"/>
              </w:rPr>
              <w:t xml:space="preserve">prilagoditve nacionalnega SIS sistema </w:t>
            </w:r>
            <w:r w:rsidRPr="0031208D">
              <w:rPr>
                <w:bCs/>
                <w:sz w:val="22"/>
              </w:rPr>
              <w:t>se je izvedla</w:t>
            </w:r>
            <w:r w:rsidRPr="0031208D">
              <w:rPr>
                <w:sz w:val="22"/>
              </w:rPr>
              <w:t xml:space="preserve"> posodobitev in vzdrževanje HCL Domino/Notes aplikacije SIRENE. </w:t>
            </w:r>
          </w:p>
          <w:p w14:paraId="78F6A38E" w14:textId="0C01A51E" w:rsidR="0054449F" w:rsidRPr="0031208D" w:rsidRDefault="0054449F" w:rsidP="0054449F">
            <w:pPr>
              <w:rPr>
                <w:sz w:val="22"/>
              </w:rPr>
            </w:pPr>
            <w:r w:rsidRPr="0031208D">
              <w:rPr>
                <w:sz w:val="22"/>
              </w:rPr>
              <w:t xml:space="preserve">Izvedena </w:t>
            </w:r>
            <w:r w:rsidR="00957530" w:rsidRPr="0031208D">
              <w:rPr>
                <w:sz w:val="22"/>
              </w:rPr>
              <w:t xml:space="preserve">je </w:t>
            </w:r>
            <w:r w:rsidRPr="0031208D">
              <w:rPr>
                <w:sz w:val="22"/>
              </w:rPr>
              <w:t xml:space="preserve">nadgradnja aplikacije EUROPOL v obstoječem Lotus Notes okolju, s ciljem  implementacije novih funkcij in izboljšanjem uporabniške izkušnje pri delu z </w:t>
            </w:r>
            <w:r w:rsidRPr="0031208D">
              <w:rPr>
                <w:b/>
                <w:sz w:val="22"/>
              </w:rPr>
              <w:t>aplikacijami za izmenjavo podatkov.</w:t>
            </w:r>
            <w:r w:rsidRPr="0031208D">
              <w:rPr>
                <w:sz w:val="22"/>
              </w:rPr>
              <w:t xml:space="preserve"> </w:t>
            </w:r>
          </w:p>
          <w:p w14:paraId="28ED787F" w14:textId="36282CAB" w:rsidR="0054449F" w:rsidRPr="0031208D" w:rsidRDefault="0054449F" w:rsidP="0054449F">
            <w:pPr>
              <w:rPr>
                <w:sz w:val="22"/>
              </w:rPr>
            </w:pPr>
            <w:r w:rsidRPr="0031208D">
              <w:rPr>
                <w:b/>
                <w:sz w:val="22"/>
              </w:rPr>
              <w:t>Operativna podpora</w:t>
            </w:r>
            <w:r w:rsidRPr="0031208D">
              <w:rPr>
                <w:sz w:val="22"/>
              </w:rPr>
              <w:t xml:space="preserve"> za učinkovito integrirano upravljanje meja krije </w:t>
            </w:r>
            <w:r w:rsidRPr="0031208D">
              <w:rPr>
                <w:b/>
                <w:sz w:val="22"/>
              </w:rPr>
              <w:t>vzdrževanje SIS II komunikacijskega vmesnika</w:t>
            </w:r>
            <w:r w:rsidRPr="0031208D">
              <w:rPr>
                <w:sz w:val="22"/>
              </w:rPr>
              <w:t xml:space="preserve"> (SIB)</w:t>
            </w:r>
            <w:r w:rsidR="00957530" w:rsidRPr="0031208D">
              <w:rPr>
                <w:sz w:val="22"/>
              </w:rPr>
              <w:t>,</w:t>
            </w:r>
            <w:r w:rsidRPr="0031208D">
              <w:rPr>
                <w:sz w:val="22"/>
              </w:rPr>
              <w:t xml:space="preserve"> pomembnega za interoperabilnost ter delo </w:t>
            </w:r>
            <w:r w:rsidRPr="0031208D">
              <w:rPr>
                <w:b/>
                <w:sz w:val="22"/>
              </w:rPr>
              <w:t>mejnih policistov</w:t>
            </w:r>
            <w:r w:rsidRPr="0031208D">
              <w:rPr>
                <w:sz w:val="22"/>
              </w:rPr>
              <w:t>, ki izvajajo mejno kontrolo na Postaji letališke policije Brnik in na Postaji pomorske policije Koper.</w:t>
            </w:r>
          </w:p>
          <w:p w14:paraId="393467FE" w14:textId="77777777" w:rsidR="0054449F" w:rsidRPr="0031208D" w:rsidRDefault="0054449F" w:rsidP="0054449F">
            <w:pPr>
              <w:rPr>
                <w:sz w:val="22"/>
              </w:rPr>
            </w:pPr>
          </w:p>
          <w:p w14:paraId="2A865C88" w14:textId="2D01F561" w:rsidR="0054449F" w:rsidRPr="0031208D" w:rsidRDefault="0054449F" w:rsidP="0054449F">
            <w:pPr>
              <w:rPr>
                <w:sz w:val="22"/>
              </w:rPr>
            </w:pPr>
            <w:r w:rsidRPr="0031208D">
              <w:rPr>
                <w:sz w:val="22"/>
              </w:rPr>
              <w:t xml:space="preserve">Cilj ukrepov </w:t>
            </w:r>
            <w:r w:rsidRPr="0031208D">
              <w:rPr>
                <w:b/>
                <w:sz w:val="22"/>
              </w:rPr>
              <w:t>Specifičnega cilja 2</w:t>
            </w:r>
            <w:r w:rsidRPr="0031208D">
              <w:rPr>
                <w:sz w:val="22"/>
              </w:rPr>
              <w:t xml:space="preserve"> s</w:t>
            </w:r>
            <w:r w:rsidR="008C6B55">
              <w:rPr>
                <w:sz w:val="22"/>
              </w:rPr>
              <w:t>o</w:t>
            </w:r>
            <w:r w:rsidRPr="0031208D">
              <w:rPr>
                <w:sz w:val="22"/>
              </w:rPr>
              <w:t xml:space="preserve"> vzpostavitev </w:t>
            </w:r>
            <w:r w:rsidRPr="0031208D">
              <w:rPr>
                <w:rFonts w:eastAsia="TimesNewRoman"/>
                <w:sz w:val="22"/>
              </w:rPr>
              <w:t>kakovostnih, učinkovitih in prijaznih storitev za prosilce za vizume ob ohranjanju varnosti in celovitosti vizumskih postopkov</w:t>
            </w:r>
            <w:r w:rsidR="008C6B55">
              <w:rPr>
                <w:rFonts w:eastAsia="TimesNewRoman"/>
                <w:sz w:val="22"/>
              </w:rPr>
              <w:t>,</w:t>
            </w:r>
            <w:r w:rsidRPr="0031208D">
              <w:rPr>
                <w:rFonts w:eastAsia="TimesNewRoman"/>
                <w:sz w:val="22"/>
              </w:rPr>
              <w:t xml:space="preserve"> zagotavljanje enotne uporabe vizumskega pravnega reda EU ter vzdrževanje in posodabljanje nacionalnega vizumskega sistema, v skladu z zahtevami in informacijskimi sistemi EU</w:t>
            </w:r>
            <w:r w:rsidRPr="0031208D">
              <w:rPr>
                <w:sz w:val="22"/>
              </w:rPr>
              <w:t>. Ključni resor je Ministrstvo za zunanje in evropske zadeve (MZEZ).</w:t>
            </w:r>
          </w:p>
          <w:p w14:paraId="7F989E66" w14:textId="595EE836" w:rsidR="0054449F" w:rsidRPr="0031208D" w:rsidRDefault="0054449F" w:rsidP="0054449F">
            <w:pPr>
              <w:spacing w:before="100"/>
              <w:rPr>
                <w:sz w:val="22"/>
              </w:rPr>
            </w:pPr>
            <w:r w:rsidRPr="0031208D">
              <w:rPr>
                <w:sz w:val="22"/>
              </w:rPr>
              <w:t xml:space="preserve">V ta namen se v okviru </w:t>
            </w:r>
            <w:r w:rsidRPr="0031208D">
              <w:rPr>
                <w:b/>
                <w:sz w:val="22"/>
              </w:rPr>
              <w:t xml:space="preserve">ukrepa 2a </w:t>
            </w:r>
            <w:r w:rsidRPr="0031208D">
              <w:rPr>
                <w:sz w:val="22"/>
              </w:rPr>
              <w:t>usmerja v n</w:t>
            </w:r>
            <w:r w:rsidRPr="0031208D">
              <w:rPr>
                <w:rFonts w:eastAsia="TimesNewRoman"/>
                <w:sz w:val="22"/>
              </w:rPr>
              <w:t xml:space="preserve">acionalni vizumski sistem, ki je temelj za izvajanje vizumskih postopkov – s ciljem posodobitev in naložb v aplikacije, povezave in digitalizacijo postopkov. Na področju </w:t>
            </w:r>
            <w:r w:rsidRPr="0031208D">
              <w:rPr>
                <w:b/>
                <w:sz w:val="22"/>
              </w:rPr>
              <w:t xml:space="preserve">kvalitetne povezljivosti </w:t>
            </w:r>
            <w:r w:rsidRPr="0031208D">
              <w:rPr>
                <w:sz w:val="22"/>
              </w:rPr>
              <w:t>so</w:t>
            </w:r>
            <w:r w:rsidRPr="0031208D">
              <w:rPr>
                <w:b/>
                <w:sz w:val="22"/>
              </w:rPr>
              <w:t xml:space="preserve"> </w:t>
            </w:r>
            <w:r w:rsidRPr="0031208D">
              <w:rPr>
                <w:sz w:val="22"/>
              </w:rPr>
              <w:t xml:space="preserve">zagotovljene izboljšane komunikacijske povezave na sedmih lokacijah za zagotavljanje stalne povezljivosti za nemoteno delovanje vseh vizumskih podsistemov in zmanjšanje tveganja nedostopnosti sistema. To omogoča tudi celovito krizno upravljanje v primeru komunikacijskih mrkov na </w:t>
            </w:r>
            <w:r w:rsidR="001C127A">
              <w:rPr>
                <w:sz w:val="22"/>
              </w:rPr>
              <w:t xml:space="preserve">bolj oddaljenih </w:t>
            </w:r>
            <w:r w:rsidRPr="0031208D">
              <w:rPr>
                <w:sz w:val="22"/>
              </w:rPr>
              <w:t xml:space="preserve">lokacijah </w:t>
            </w:r>
            <w:r w:rsidR="001C127A">
              <w:rPr>
                <w:sz w:val="22"/>
              </w:rPr>
              <w:t xml:space="preserve">in lokacijah </w:t>
            </w:r>
            <w:r w:rsidRPr="0031208D">
              <w:rPr>
                <w:sz w:val="22"/>
              </w:rPr>
              <w:t>z manj razvitim trgom telekomunikacij.</w:t>
            </w:r>
          </w:p>
          <w:p w14:paraId="1D01BCD2" w14:textId="1D7DF669" w:rsidR="0054449F" w:rsidRPr="0031208D" w:rsidRDefault="0054449F" w:rsidP="0054449F">
            <w:pPr>
              <w:rPr>
                <w:sz w:val="22"/>
              </w:rPr>
            </w:pPr>
            <w:r w:rsidRPr="0031208D">
              <w:rPr>
                <w:sz w:val="22"/>
              </w:rPr>
              <w:lastRenderedPageBreak/>
              <w:t xml:space="preserve">Poteka </w:t>
            </w:r>
            <w:r w:rsidRPr="0031208D">
              <w:rPr>
                <w:b/>
                <w:sz w:val="22"/>
              </w:rPr>
              <w:t xml:space="preserve">posodabljanje in vzdrževanje </w:t>
            </w:r>
            <w:r w:rsidR="00C04B31" w:rsidRPr="00A44C42">
              <w:rPr>
                <w:b/>
                <w:sz w:val="22"/>
              </w:rPr>
              <w:t>IKT strojne opreme in</w:t>
            </w:r>
            <w:r w:rsidR="00C04B31">
              <w:rPr>
                <w:b/>
                <w:sz w:val="22"/>
              </w:rPr>
              <w:t xml:space="preserve"> </w:t>
            </w:r>
            <w:r w:rsidRPr="0031208D">
              <w:rPr>
                <w:b/>
                <w:sz w:val="22"/>
              </w:rPr>
              <w:t xml:space="preserve">programskih komponent nacionalnega vizumskega informacijskega sistema </w:t>
            </w:r>
            <w:r w:rsidRPr="0031208D">
              <w:rPr>
                <w:sz w:val="22"/>
              </w:rPr>
              <w:t xml:space="preserve">ter ustrezno </w:t>
            </w:r>
            <w:r w:rsidRPr="0031208D">
              <w:rPr>
                <w:b/>
                <w:sz w:val="22"/>
              </w:rPr>
              <w:t xml:space="preserve">posodabljanje </w:t>
            </w:r>
            <w:r w:rsidRPr="0031208D">
              <w:rPr>
                <w:sz w:val="22"/>
              </w:rPr>
              <w:t>licenčne programske opreme, kar je ključno za delovanje nacionalnega vizumskega sistema.</w:t>
            </w:r>
            <w:r w:rsidR="003760FD">
              <w:rPr>
                <w:sz w:val="22"/>
              </w:rPr>
              <w:t xml:space="preserve"> </w:t>
            </w:r>
          </w:p>
          <w:p w14:paraId="66B5913D" w14:textId="27673442" w:rsidR="0054449F" w:rsidRPr="0031208D" w:rsidRDefault="0054449F" w:rsidP="0054449F">
            <w:pPr>
              <w:rPr>
                <w:sz w:val="22"/>
              </w:rPr>
            </w:pPr>
            <w:r w:rsidRPr="0031208D">
              <w:rPr>
                <w:sz w:val="22"/>
              </w:rPr>
              <w:t xml:space="preserve">Sledimo </w:t>
            </w:r>
            <w:r w:rsidRPr="0031208D">
              <w:rPr>
                <w:b/>
                <w:sz w:val="22"/>
              </w:rPr>
              <w:t>izboljšanj</w:t>
            </w:r>
            <w:r w:rsidR="00957530" w:rsidRPr="0031208D">
              <w:rPr>
                <w:b/>
                <w:sz w:val="22"/>
              </w:rPr>
              <w:t>u</w:t>
            </w:r>
            <w:r w:rsidRPr="0031208D">
              <w:rPr>
                <w:b/>
                <w:sz w:val="22"/>
              </w:rPr>
              <w:t xml:space="preserve"> varnostnih standardov, funkcionalnosti in delovnih procesov konzularnih oddelkov predstavništev </w:t>
            </w:r>
            <w:r w:rsidR="001C127A">
              <w:rPr>
                <w:b/>
                <w:sz w:val="22"/>
              </w:rPr>
              <w:t xml:space="preserve">Republike Slovenije </w:t>
            </w:r>
            <w:r w:rsidRPr="0031208D">
              <w:rPr>
                <w:b/>
                <w:sz w:val="22"/>
              </w:rPr>
              <w:t>v tujini</w:t>
            </w:r>
            <w:r w:rsidRPr="0031208D">
              <w:rPr>
                <w:sz w:val="22"/>
              </w:rPr>
              <w:t>. Aktivnosti vključujejo nakup opreme, nepremičnin in infrastrukturne posodobitve za vizumsko poslovanje</w:t>
            </w:r>
            <w:r w:rsidR="00065180">
              <w:rPr>
                <w:sz w:val="22"/>
              </w:rPr>
              <w:t xml:space="preserve"> (Manila, New Delhi)</w:t>
            </w:r>
            <w:r w:rsidRPr="0031208D">
              <w:rPr>
                <w:sz w:val="22"/>
              </w:rPr>
              <w:t xml:space="preserve">. V obdobju poročanja so bili dobavljeni </w:t>
            </w:r>
            <w:proofErr w:type="spellStart"/>
            <w:r w:rsidRPr="0031208D">
              <w:rPr>
                <w:sz w:val="22"/>
              </w:rPr>
              <w:t>defribilatorji</w:t>
            </w:r>
            <w:proofErr w:type="spellEnd"/>
            <w:r w:rsidRPr="0031208D">
              <w:rPr>
                <w:sz w:val="22"/>
              </w:rPr>
              <w:t xml:space="preserve"> in tri primopredajna okna oz. pulti za konzularne oddelke DKP. </w:t>
            </w:r>
          </w:p>
          <w:p w14:paraId="5E91BFE7" w14:textId="462178A2" w:rsidR="0054449F" w:rsidRPr="0031208D" w:rsidRDefault="0054449F" w:rsidP="0054449F">
            <w:pPr>
              <w:rPr>
                <w:sz w:val="22"/>
              </w:rPr>
            </w:pPr>
            <w:r w:rsidRPr="0031208D">
              <w:rPr>
                <w:b/>
                <w:sz w:val="22"/>
              </w:rPr>
              <w:t xml:space="preserve">Pilotni projekt za zajem biometričnih podatkov na samopostrežnem pametnem kiosku </w:t>
            </w:r>
            <w:r w:rsidRPr="0031208D">
              <w:rPr>
                <w:sz w:val="22"/>
              </w:rPr>
              <w:t xml:space="preserve">se </w:t>
            </w:r>
            <w:r w:rsidR="008A4D40">
              <w:rPr>
                <w:sz w:val="22"/>
              </w:rPr>
              <w:t xml:space="preserve">je pričel </w:t>
            </w:r>
            <w:r w:rsidRPr="0031208D">
              <w:rPr>
                <w:sz w:val="22"/>
              </w:rPr>
              <w:t>izvaja</w:t>
            </w:r>
            <w:r w:rsidR="008A4D40">
              <w:rPr>
                <w:sz w:val="22"/>
              </w:rPr>
              <w:t>ti s</w:t>
            </w:r>
            <w:r w:rsidRPr="0031208D">
              <w:rPr>
                <w:sz w:val="22"/>
              </w:rPr>
              <w:t xml:space="preserve"> priprav</w:t>
            </w:r>
            <w:r w:rsidR="008A4D40">
              <w:rPr>
                <w:sz w:val="22"/>
              </w:rPr>
              <w:t>o</w:t>
            </w:r>
            <w:r w:rsidRPr="0031208D">
              <w:rPr>
                <w:sz w:val="22"/>
              </w:rPr>
              <w:t xml:space="preserve"> razpisn</w:t>
            </w:r>
            <w:r w:rsidR="008A4D40">
              <w:rPr>
                <w:sz w:val="22"/>
              </w:rPr>
              <w:t>e</w:t>
            </w:r>
            <w:r w:rsidRPr="0031208D">
              <w:rPr>
                <w:sz w:val="22"/>
              </w:rPr>
              <w:t xml:space="preserve"> dokumentacij</w:t>
            </w:r>
            <w:r w:rsidR="008A4D40">
              <w:rPr>
                <w:sz w:val="22"/>
              </w:rPr>
              <w:t>e</w:t>
            </w:r>
            <w:r w:rsidRPr="0031208D">
              <w:rPr>
                <w:sz w:val="22"/>
              </w:rPr>
              <w:t xml:space="preserve"> za javno naročilo.</w:t>
            </w:r>
          </w:p>
          <w:p w14:paraId="187BEC98" w14:textId="77777777" w:rsidR="0054449F" w:rsidRPr="0031208D" w:rsidRDefault="0054449F" w:rsidP="0054449F">
            <w:pPr>
              <w:rPr>
                <w:sz w:val="22"/>
              </w:rPr>
            </w:pPr>
            <w:r w:rsidRPr="0031208D">
              <w:rPr>
                <w:sz w:val="22"/>
              </w:rPr>
              <w:t xml:space="preserve">V okviru rednih letnih in regionalnih konzularnih posvetov so potekala usposabljanja za konzularne uslužbence DKP </w:t>
            </w:r>
            <w:r w:rsidRPr="0031208D">
              <w:rPr>
                <w:rStyle w:val="Krepko"/>
                <w:sz w:val="22"/>
              </w:rPr>
              <w:t>(ukrep 2c)</w:t>
            </w:r>
            <w:r w:rsidRPr="0031208D">
              <w:rPr>
                <w:sz w:val="22"/>
              </w:rPr>
              <w:t xml:space="preserve">. V poročevalnem obdobju sta bila izvedena Letni konzularni posvet 2024 (november 2024) ter Regionalni konzularni posvet (april 2025). Dosežen cilj: izboljšana strokovna usposobljenost, enotnost postopkov ter odzivnost konzularnega osebja.  </w:t>
            </w:r>
          </w:p>
          <w:p w14:paraId="6530375E" w14:textId="0D1DBB3E" w:rsidR="0054449F" w:rsidRPr="0031208D" w:rsidRDefault="0054449F" w:rsidP="0054449F">
            <w:pPr>
              <w:rPr>
                <w:rFonts w:eastAsia="TimesNewRoman"/>
                <w:sz w:val="22"/>
              </w:rPr>
            </w:pPr>
            <w:r w:rsidRPr="0031208D">
              <w:rPr>
                <w:sz w:val="22"/>
              </w:rPr>
              <w:t xml:space="preserve">V okviru </w:t>
            </w:r>
            <w:r w:rsidRPr="0031208D">
              <w:rPr>
                <w:b/>
                <w:sz w:val="22"/>
              </w:rPr>
              <w:t>operativne podpore</w:t>
            </w:r>
            <w:r w:rsidRPr="0031208D">
              <w:rPr>
                <w:sz w:val="22"/>
              </w:rPr>
              <w:t xml:space="preserve"> se financira delo </w:t>
            </w:r>
            <w:r w:rsidRPr="0031208D">
              <w:rPr>
                <w:b/>
                <w:sz w:val="22"/>
              </w:rPr>
              <w:t xml:space="preserve">osebja na DKP </w:t>
            </w:r>
            <w:r w:rsidR="008A4D40" w:rsidRPr="008A4D40">
              <w:rPr>
                <w:sz w:val="22"/>
              </w:rPr>
              <w:t>za izvajanje vizumskih postopkov</w:t>
            </w:r>
            <w:r w:rsidR="008A4D40">
              <w:rPr>
                <w:b/>
                <w:sz w:val="22"/>
              </w:rPr>
              <w:t xml:space="preserve"> </w:t>
            </w:r>
            <w:r w:rsidRPr="0031208D">
              <w:rPr>
                <w:sz w:val="22"/>
              </w:rPr>
              <w:t>ter podpornega osebja na sedežu MZEZ</w:t>
            </w:r>
            <w:r w:rsidR="008A4D40">
              <w:rPr>
                <w:sz w:val="22"/>
              </w:rPr>
              <w:t xml:space="preserve"> za nemoteno vsebinsko in tehnično izvedbo operacij IUMV</w:t>
            </w:r>
            <w:r w:rsidRPr="0031208D">
              <w:rPr>
                <w:sz w:val="22"/>
              </w:rPr>
              <w:t xml:space="preserve">, s ciljem </w:t>
            </w:r>
            <w:r w:rsidRPr="0031208D">
              <w:rPr>
                <w:rFonts w:eastAsia="TimesNewRoman"/>
                <w:sz w:val="22"/>
              </w:rPr>
              <w:t>kakovostne, učinkovite in strankam prijazne storitve.</w:t>
            </w:r>
          </w:p>
          <w:p w14:paraId="6C07C1C5" w14:textId="0D2BB2CC" w:rsidR="00C04DB0" w:rsidRPr="0031208D" w:rsidRDefault="0054449F" w:rsidP="00662274">
            <w:pPr>
              <w:rPr>
                <w:sz w:val="22"/>
              </w:rPr>
            </w:pPr>
            <w:r w:rsidRPr="0031208D">
              <w:rPr>
                <w:sz w:val="22"/>
              </w:rPr>
              <w:t>EU je z novimi pravili na področju migracij in azila vzpostavila sistem skupnega upravljanja migracij in azila. Paket zakonodajnih aktov (ki se nanašajo azilne postopke, obravnavo migrantov na mejah, prepoznavo odgovorne države članice, solidarnost in razporejanja prošenj, pogoje za sprejem in vračanje) je vplival na</w:t>
            </w:r>
            <w:r w:rsidR="00AC4E78">
              <w:rPr>
                <w:sz w:val="22"/>
              </w:rPr>
              <w:t xml:space="preserve"> </w:t>
            </w:r>
            <w:r w:rsidRPr="0031208D">
              <w:rPr>
                <w:sz w:val="22"/>
              </w:rPr>
              <w:t>to, da se je Slovenija, v obdobju poročanja, intenzivno pripravljala na uporabo nove zakonodaje, predvsem s pripravo nacionalnih programov in sistemov za uresničitev novih pravil. Sledi tudi sprejem prilagojenih pravnih aktov ter natančen pregled obstoječih delovnih procesov za njihovo nadgradnjo oziroma vzpostavitev novih, kot so na primer sistem in postopki upravljanja z migracijami in azilom, neodvisni nadzorni mehanizem, sistem in postopki ugotavljanja ranljivosti, ugotavljanja starosti mladoletnikov brez spremstva. Zaradi novih obveznosti bo treba zagotoviti tudi dodatne stalne kadrovske vire, usposabljanje, infrastrukturo ter vključiti tudi druge deležnike.</w:t>
            </w:r>
          </w:p>
        </w:tc>
      </w:tr>
    </w:tbl>
    <w:bookmarkEnd w:id="0"/>
    <w:p w14:paraId="543BCDE5" w14:textId="77777777" w:rsidR="00AD502C" w:rsidRPr="0031208D" w:rsidRDefault="001C1609" w:rsidP="001C1609">
      <w:pPr>
        <w:pStyle w:val="ManualHeading2"/>
        <w:rPr>
          <w:noProof/>
          <w:sz w:val="22"/>
        </w:rPr>
      </w:pPr>
      <w:r w:rsidRPr="0031208D">
        <w:rPr>
          <w:sz w:val="22"/>
        </w:rPr>
        <w:lastRenderedPageBreak/>
        <w:t>1.2.</w:t>
      </w:r>
      <w:r w:rsidRPr="0031208D">
        <w:rPr>
          <w:sz w:val="22"/>
        </w:rPr>
        <w:tab/>
      </w:r>
      <w:r w:rsidR="00AD502C" w:rsidRPr="0031208D">
        <w:rPr>
          <w:noProof/>
          <w:sz w:val="22"/>
        </w:rPr>
        <w:t>Vprašanja, ki vplivajo na smotrnost – člen 29(2), točka (b), Uredbe (EU) 2021/1148</w:t>
      </w:r>
    </w:p>
    <w:p w14:paraId="1556B558" w14:textId="77777777" w:rsidR="00AD502C" w:rsidRPr="0031208D" w:rsidRDefault="00AD502C" w:rsidP="00AD502C">
      <w:pPr>
        <w:rPr>
          <w:noProof/>
          <w:sz w:val="22"/>
        </w:rPr>
      </w:pPr>
      <w:r w:rsidRPr="0031208D">
        <w:rPr>
          <w:noProof/>
          <w:sz w:val="22"/>
        </w:rPr>
        <w:t xml:space="preserve">Za vsak specifični cilj opišite morebitna vprašanja, ki vplivajo na smotrnost programa med obračunskim letom, in morebitne ukrepe, sprejete za njihovo obravnavo. </w:t>
      </w:r>
    </w:p>
    <w:p w14:paraId="3A77A62B" w14:textId="77777777" w:rsidR="00AD502C" w:rsidRPr="0031208D" w:rsidRDefault="00AD502C" w:rsidP="00AD502C">
      <w:pPr>
        <w:rPr>
          <w:noProof/>
          <w:sz w:val="22"/>
        </w:rPr>
      </w:pPr>
      <w:r w:rsidRPr="0031208D">
        <w:rPr>
          <w:noProof/>
          <w:sz w:val="22"/>
        </w:rPr>
        <w:t>Kadar koli je to mogoče in ustrezno, razlikujte med vprašanji, povezanimi z:</w:t>
      </w:r>
    </w:p>
    <w:p w14:paraId="1B2E981D" w14:textId="77777777" w:rsidR="00AD502C" w:rsidRPr="0031208D" w:rsidRDefault="00AD502C" w:rsidP="00462F73">
      <w:pPr>
        <w:pStyle w:val="Tiret0"/>
        <w:numPr>
          <w:ilvl w:val="0"/>
          <w:numId w:val="10"/>
        </w:numPr>
        <w:rPr>
          <w:noProof/>
          <w:sz w:val="22"/>
        </w:rPr>
      </w:pPr>
      <w:r w:rsidRPr="0031208D">
        <w:rPr>
          <w:noProof/>
          <w:sz w:val="22"/>
        </w:rPr>
        <w:t>nezadostnim poročanjem o dosežkih</w:t>
      </w:r>
      <w:r w:rsidRPr="0031208D">
        <w:rPr>
          <w:rStyle w:val="Sprotnaopomba-sklic"/>
          <w:noProof/>
          <w:sz w:val="22"/>
        </w:rPr>
        <w:footnoteReference w:id="2"/>
      </w:r>
      <w:r w:rsidR="00321F2D" w:rsidRPr="0031208D">
        <w:rPr>
          <w:noProof/>
          <w:sz w:val="22"/>
        </w:rPr>
        <w:t>,</w:t>
      </w:r>
      <w:r w:rsidRPr="0031208D">
        <w:rPr>
          <w:noProof/>
          <w:sz w:val="22"/>
        </w:rPr>
        <w:t xml:space="preserve"> </w:t>
      </w:r>
    </w:p>
    <w:p w14:paraId="658E57DD" w14:textId="77777777" w:rsidR="00AD502C" w:rsidRPr="0031208D" w:rsidRDefault="00AD502C" w:rsidP="00462F73">
      <w:pPr>
        <w:pStyle w:val="Tiret0"/>
        <w:numPr>
          <w:ilvl w:val="0"/>
          <w:numId w:val="10"/>
        </w:numPr>
        <w:rPr>
          <w:noProof/>
          <w:sz w:val="22"/>
        </w:rPr>
      </w:pPr>
      <w:r w:rsidRPr="0031208D">
        <w:rPr>
          <w:noProof/>
          <w:sz w:val="22"/>
        </w:rPr>
        <w:t>določanjem ciljev</w:t>
      </w:r>
      <w:r w:rsidRPr="0031208D">
        <w:rPr>
          <w:rStyle w:val="Sprotnaopomba-sklic"/>
          <w:noProof/>
          <w:sz w:val="22"/>
        </w:rPr>
        <w:footnoteReference w:id="3"/>
      </w:r>
      <w:r w:rsidR="00321F2D" w:rsidRPr="0031208D">
        <w:rPr>
          <w:noProof/>
          <w:sz w:val="22"/>
        </w:rPr>
        <w:t>,</w:t>
      </w:r>
      <w:r w:rsidRPr="0031208D">
        <w:rPr>
          <w:noProof/>
          <w:sz w:val="22"/>
        </w:rPr>
        <w:t xml:space="preserve"> </w:t>
      </w:r>
    </w:p>
    <w:p w14:paraId="20CDB67E" w14:textId="77777777" w:rsidR="00AD502C" w:rsidRPr="0031208D" w:rsidRDefault="00AD502C" w:rsidP="00462F73">
      <w:pPr>
        <w:pStyle w:val="Tiret0"/>
        <w:numPr>
          <w:ilvl w:val="0"/>
          <w:numId w:val="10"/>
        </w:numPr>
        <w:rPr>
          <w:noProof/>
          <w:sz w:val="22"/>
        </w:rPr>
      </w:pPr>
      <w:r w:rsidRPr="0031208D">
        <w:rPr>
          <w:noProof/>
          <w:sz w:val="22"/>
        </w:rPr>
        <w:t>postopkovnimi zamudami in upravnimi zmogljivostmi</w:t>
      </w:r>
      <w:r w:rsidRPr="0031208D">
        <w:rPr>
          <w:rStyle w:val="Sprotnaopomba-sklic"/>
          <w:noProof/>
          <w:sz w:val="22"/>
        </w:rPr>
        <w:footnoteReference w:id="4"/>
      </w:r>
      <w:r w:rsidR="00321F2D" w:rsidRPr="0031208D">
        <w:rPr>
          <w:noProof/>
          <w:sz w:val="22"/>
        </w:rPr>
        <w:t>,</w:t>
      </w:r>
      <w:r w:rsidRPr="0031208D">
        <w:rPr>
          <w:noProof/>
          <w:sz w:val="22"/>
        </w:rPr>
        <w:t xml:space="preserve"> </w:t>
      </w:r>
    </w:p>
    <w:p w14:paraId="0EDEC742" w14:textId="77777777" w:rsidR="00AD502C" w:rsidRPr="0031208D" w:rsidRDefault="00AD502C" w:rsidP="00462F73">
      <w:pPr>
        <w:pStyle w:val="Tiret0"/>
        <w:numPr>
          <w:ilvl w:val="0"/>
          <w:numId w:val="10"/>
        </w:numPr>
        <w:rPr>
          <w:noProof/>
          <w:sz w:val="22"/>
        </w:rPr>
      </w:pPr>
      <w:r w:rsidRPr="0031208D">
        <w:rPr>
          <w:noProof/>
          <w:sz w:val="22"/>
        </w:rPr>
        <w:t>kontekstualnimi spremembami</w:t>
      </w:r>
      <w:r w:rsidRPr="0031208D">
        <w:rPr>
          <w:rStyle w:val="Sprotnaopomba-sklic"/>
          <w:noProof/>
          <w:sz w:val="22"/>
        </w:rPr>
        <w:footnoteReference w:id="5"/>
      </w:r>
      <w:r w:rsidR="00321F2D" w:rsidRPr="0031208D">
        <w:rPr>
          <w:noProof/>
          <w:sz w:val="22"/>
        </w:rPr>
        <w:t>,</w:t>
      </w:r>
    </w:p>
    <w:p w14:paraId="138EED65" w14:textId="77777777" w:rsidR="00AD502C" w:rsidRPr="0031208D" w:rsidRDefault="00AD502C" w:rsidP="00462F73">
      <w:pPr>
        <w:pStyle w:val="Tiret0"/>
        <w:numPr>
          <w:ilvl w:val="0"/>
          <w:numId w:val="10"/>
        </w:numPr>
        <w:rPr>
          <w:noProof/>
          <w:sz w:val="22"/>
        </w:rPr>
      </w:pPr>
      <w:r w:rsidRPr="0031208D">
        <w:rPr>
          <w:noProof/>
          <w:sz w:val="22"/>
        </w:rPr>
        <w:t>zasnovo in/ali izvajanjem operacij</w:t>
      </w:r>
      <w:r w:rsidRPr="0031208D">
        <w:rPr>
          <w:rStyle w:val="Sprotnaopomba-sklic"/>
          <w:noProof/>
          <w:sz w:val="22"/>
        </w:rPr>
        <w:footnoteReference w:id="6"/>
      </w:r>
      <w:r w:rsidRPr="0031208D">
        <w:rPr>
          <w:noProof/>
          <w:sz w:val="22"/>
        </w:rPr>
        <w:t xml:space="preserve"> ter</w:t>
      </w:r>
    </w:p>
    <w:p w14:paraId="6D35FAEE" w14:textId="77777777" w:rsidR="00AD502C" w:rsidRPr="0031208D" w:rsidRDefault="00AD502C" w:rsidP="00462F73">
      <w:pPr>
        <w:pStyle w:val="Tiret0"/>
        <w:numPr>
          <w:ilvl w:val="0"/>
          <w:numId w:val="10"/>
        </w:numPr>
        <w:rPr>
          <w:noProof/>
          <w:sz w:val="22"/>
        </w:rPr>
      </w:pPr>
      <w:r w:rsidRPr="0031208D">
        <w:rPr>
          <w:noProof/>
          <w:sz w:val="22"/>
        </w:rPr>
        <w:lastRenderedPageBreak/>
        <w:t xml:space="preserve">katero koli drugo zadevo. </w:t>
      </w:r>
    </w:p>
    <w:p w14:paraId="4AE861FD" w14:textId="77777777" w:rsidR="00AD502C" w:rsidRPr="0031208D" w:rsidRDefault="00DB17CF" w:rsidP="00151819">
      <w:pPr>
        <w:rPr>
          <w:i/>
          <w:noProof/>
          <w:sz w:val="22"/>
        </w:rPr>
      </w:pPr>
      <w:r w:rsidRPr="0031208D">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5004058B" w14:textId="77777777" w:rsidR="00AD502C" w:rsidRPr="0031208D" w:rsidRDefault="00DB17CF" w:rsidP="00AD502C">
      <w:pPr>
        <w:rPr>
          <w:noProof/>
          <w:sz w:val="22"/>
        </w:rPr>
      </w:pPr>
      <w:r w:rsidRPr="0031208D">
        <w:rPr>
          <w:noProof/>
          <w:sz w:val="22"/>
        </w:rPr>
        <w:t>Vključite informacije o vseh obrazloženih mnenjih Komisije v zvezi s postopki za ugotavljanje kršitev na podlagi člena 258 Pogodbe o delovanju Evropske unije (PDEU), ki so povezana z izvajanjem Instrumenta.</w:t>
      </w:r>
    </w:p>
    <w:tbl>
      <w:tblPr>
        <w:tblStyle w:val="Tabelamrea"/>
        <w:tblW w:w="0" w:type="auto"/>
        <w:tblLook w:val="04A0" w:firstRow="1" w:lastRow="0" w:firstColumn="1" w:lastColumn="0" w:noHBand="0" w:noVBand="1"/>
      </w:tblPr>
      <w:tblGrid>
        <w:gridCol w:w="9063"/>
      </w:tblGrid>
      <w:tr w:rsidR="0031208D" w:rsidRPr="0031208D" w14:paraId="782B4C53" w14:textId="77777777" w:rsidTr="00E45665">
        <w:tc>
          <w:tcPr>
            <w:tcW w:w="9289" w:type="dxa"/>
          </w:tcPr>
          <w:p w14:paraId="11D87445" w14:textId="69A44534" w:rsidR="00291D52" w:rsidRPr="0031208D" w:rsidRDefault="00291D52" w:rsidP="00291D52">
            <w:pPr>
              <w:rPr>
                <w:noProof/>
                <w:sz w:val="22"/>
              </w:rPr>
            </w:pPr>
            <w:r w:rsidRPr="0031208D">
              <w:rPr>
                <w:noProof/>
                <w:sz w:val="22"/>
              </w:rPr>
              <w:t xml:space="preserve">Zaradi porabe preostalih/neporabljenih sredstev v okviru programa ISF-B 14-20, poznejše potrditve programa IUMV 21-27, posledično poznejšega začetka izvajanja operacij,  posledic vstopa Republike Hrvaške v Schengensko območje ali spremenjenih potreb pri upravičencih (npr. spremenjene varnostne razmere po svetu) se je OU odločil za posodobitev programa IUMV. </w:t>
            </w:r>
          </w:p>
          <w:p w14:paraId="39150D5E" w14:textId="01D54BBA" w:rsidR="00291D52" w:rsidRPr="0031208D" w:rsidRDefault="00291D52" w:rsidP="00291D52">
            <w:pPr>
              <w:rPr>
                <w:noProof/>
                <w:sz w:val="22"/>
              </w:rPr>
            </w:pPr>
            <w:r w:rsidRPr="0031208D">
              <w:rPr>
                <w:noProof/>
                <w:sz w:val="22"/>
              </w:rPr>
              <w:t>Novembra 2024 je bil potrjen program (prenos 5 % sredstev na program SNV)</w:t>
            </w:r>
            <w:r w:rsidR="00C04DB0" w:rsidRPr="0031208D">
              <w:rPr>
                <w:noProof/>
                <w:sz w:val="22"/>
              </w:rPr>
              <w:t xml:space="preserve">, novembra 2025 pa je bil oddan program, ki </w:t>
            </w:r>
            <w:r w:rsidRPr="0031208D">
              <w:rPr>
                <w:noProof/>
                <w:sz w:val="22"/>
              </w:rPr>
              <w:t xml:space="preserve">odražala nove potrebe, glede na trenutno stanje, prav tako </w:t>
            </w:r>
            <w:r w:rsidR="00C04DB0" w:rsidRPr="0031208D">
              <w:rPr>
                <w:noProof/>
                <w:sz w:val="22"/>
              </w:rPr>
              <w:t xml:space="preserve">so </w:t>
            </w:r>
            <w:r w:rsidRPr="0031208D">
              <w:rPr>
                <w:noProof/>
                <w:sz w:val="22"/>
              </w:rPr>
              <w:t xml:space="preserve">zajete vsebine, vezane na Pakt o migracijah. Menimo, da bo po potrditvi spremembe programa doseganje zastavljenih ciljev bolj realno. </w:t>
            </w:r>
          </w:p>
          <w:p w14:paraId="162E3D01" w14:textId="3C66884D" w:rsidR="00291D52" w:rsidRPr="0031208D" w:rsidRDefault="00291D52" w:rsidP="00291D52">
            <w:pPr>
              <w:rPr>
                <w:noProof/>
                <w:sz w:val="22"/>
              </w:rPr>
            </w:pPr>
            <w:r w:rsidRPr="0031208D">
              <w:rPr>
                <w:noProof/>
                <w:sz w:val="22"/>
              </w:rPr>
              <w:t xml:space="preserve">Upravičenci v okviru operacij v izvajanju poročajo, da se aktivnosti v veliki meri izvajajo v skladu s potrjeno časovnico, je pa v nekaterih primerih prišlo do ponovitev javnih naročil (zaradi nepopolnih ali neuspešnih ponudb), kar je vodilo do zamikov. Do zamud prihaja tudi zaradi </w:t>
            </w:r>
            <w:r w:rsidR="00D36994" w:rsidRPr="0031208D">
              <w:rPr>
                <w:noProof/>
                <w:sz w:val="22"/>
              </w:rPr>
              <w:t>kadrovskih manjkov, predvsem na področju IT</w:t>
            </w:r>
            <w:r w:rsidR="005962DB" w:rsidRPr="0031208D">
              <w:rPr>
                <w:noProof/>
                <w:sz w:val="22"/>
              </w:rPr>
              <w:t xml:space="preserve">, daljših dobavnih rokov in zaradi </w:t>
            </w:r>
            <w:r w:rsidRPr="0031208D">
              <w:rPr>
                <w:noProof/>
                <w:sz w:val="22"/>
              </w:rPr>
              <w:t>obsežnih tehničnih specifikacij (predvsem na področju informacijskih sistemov) ter zamud na ravni EU (eu-LISA, ETIAS).</w:t>
            </w:r>
          </w:p>
          <w:p w14:paraId="284E9EF6" w14:textId="2614EAEE" w:rsidR="0011143B" w:rsidRPr="0031208D" w:rsidRDefault="0011143B" w:rsidP="0011143B">
            <w:pPr>
              <w:spacing w:after="0"/>
              <w:rPr>
                <w:sz w:val="22"/>
              </w:rPr>
            </w:pPr>
            <w:r w:rsidRPr="0031208D">
              <w:rPr>
                <w:sz w:val="22"/>
              </w:rPr>
              <w:t xml:space="preserve">Na splošno velja, da so bile prvotno načrtovane vrednosti za mejnike 2024 in cilje 2029  sprejete pred vstopom Republike Hrvaške (HR) v Schengensko območje. Potem je prišlo do velikih sprememb v organiziranosti Policije. Ukinile, spremenile ali preselile so se policijske lokacije, predvsem na južni meji, za katere ni več potrebno zagotavljati opreme / storitev za mejne prehode v prvotno predvidenem obsegu. Ker je Hrvaška vstopila v Schengensko območje takoj po sprejetju prve verzije programa, je tudi nastopilo veliko nejasnosti glede upravičenosti izvajanja določenih operacij, o čemer je potekalo usklajevanje z EK, zato se je pričetek izvajanja operacij zamaknil. </w:t>
            </w:r>
            <w:r w:rsidR="000072A3" w:rsidRPr="0031208D">
              <w:rPr>
                <w:sz w:val="22"/>
              </w:rPr>
              <w:t xml:space="preserve">Posledično to vpliva tudi na manjši napredek mejnikov 2024, ki zato niso bili doseženi. </w:t>
            </w:r>
            <w:r w:rsidRPr="0031208D">
              <w:rPr>
                <w:sz w:val="22"/>
              </w:rPr>
              <w:t>Pojasnilo velja za več načrtovanih kazalnikov.</w:t>
            </w:r>
          </w:p>
          <w:p w14:paraId="09463FA4" w14:textId="77777777" w:rsidR="0011143B" w:rsidRPr="0031208D" w:rsidRDefault="0011143B" w:rsidP="0011143B">
            <w:pPr>
              <w:rPr>
                <w:b/>
                <w:bCs/>
                <w:sz w:val="22"/>
              </w:rPr>
            </w:pPr>
            <w:r w:rsidRPr="0031208D">
              <w:rPr>
                <w:b/>
                <w:bCs/>
                <w:sz w:val="22"/>
              </w:rPr>
              <w:t>SO1</w:t>
            </w:r>
          </w:p>
          <w:p w14:paraId="3CE099E4" w14:textId="39591597" w:rsidR="00CF67EC" w:rsidRPr="0031208D" w:rsidRDefault="001139C0" w:rsidP="00CF67EC">
            <w:pPr>
              <w:spacing w:after="0"/>
              <w:rPr>
                <w:i/>
                <w:iCs/>
                <w:sz w:val="22"/>
              </w:rPr>
            </w:pPr>
            <w:r w:rsidRPr="0031208D">
              <w:rPr>
                <w:i/>
                <w:iCs/>
                <w:sz w:val="22"/>
              </w:rPr>
              <w:t xml:space="preserve">a) </w:t>
            </w:r>
            <w:r w:rsidR="00EC37A9" w:rsidRPr="0031208D">
              <w:rPr>
                <w:i/>
                <w:iCs/>
                <w:sz w:val="22"/>
              </w:rPr>
              <w:t>Sprememba pogojev upravičenosti zaradi pristopa Hrvaške k schengenskemu območju je vplivala na nižje vrednosti spodaj navedenih kazalnikov:</w:t>
            </w:r>
          </w:p>
          <w:p w14:paraId="0F7CA19D" w14:textId="0A8ECDB4" w:rsidR="00CF67EC" w:rsidRPr="0031208D" w:rsidRDefault="00CF67EC" w:rsidP="00CF67EC">
            <w:pPr>
              <w:spacing w:after="0"/>
              <w:rPr>
                <w:sz w:val="22"/>
              </w:rPr>
            </w:pPr>
            <w:r w:rsidRPr="0031208D">
              <w:rPr>
                <w:sz w:val="22"/>
              </w:rPr>
              <w:t>O.1.1 – Število kosov opreme, kupljene za mejne prehode</w:t>
            </w:r>
            <w:r w:rsidR="000A7F56" w:rsidRPr="0031208D">
              <w:rPr>
                <w:sz w:val="22"/>
              </w:rPr>
              <w:t xml:space="preserve">: Zaradi </w:t>
            </w:r>
            <w:r w:rsidR="00A67CBD" w:rsidRPr="0031208D">
              <w:rPr>
                <w:sz w:val="22"/>
              </w:rPr>
              <w:t>zamika izvajanja operacij</w:t>
            </w:r>
            <w:r w:rsidR="000A7F56" w:rsidRPr="0031208D">
              <w:rPr>
                <w:sz w:val="22"/>
              </w:rPr>
              <w:t xml:space="preserve"> mejnik (2024)-161 ni bil dosežen. </w:t>
            </w:r>
            <w:r w:rsidR="00A67CBD" w:rsidRPr="0031208D">
              <w:rPr>
                <w:sz w:val="22"/>
              </w:rPr>
              <w:t>P</w:t>
            </w:r>
            <w:r w:rsidR="000A7F56" w:rsidRPr="0031208D">
              <w:rPr>
                <w:sz w:val="22"/>
              </w:rPr>
              <w:t>lanirana ciljna vrednost 1.355 kosov</w:t>
            </w:r>
            <w:r w:rsidR="00A67CBD" w:rsidRPr="0031208D">
              <w:rPr>
                <w:sz w:val="22"/>
              </w:rPr>
              <w:t xml:space="preserve"> predstavlja</w:t>
            </w:r>
            <w:r w:rsidR="000A7F56" w:rsidRPr="0031208D">
              <w:rPr>
                <w:sz w:val="22"/>
              </w:rPr>
              <w:t xml:space="preserve"> tudi nove potrebe tj. količine opreme za izvajanje Pakta o migracijah in azilu (v nadaljevanju Pakt). </w:t>
            </w:r>
          </w:p>
          <w:p w14:paraId="3B50B916" w14:textId="0701E28A" w:rsidR="00CF67EC" w:rsidRPr="0031208D" w:rsidRDefault="00CF67EC" w:rsidP="00CF67EC">
            <w:pPr>
              <w:spacing w:after="0"/>
              <w:rPr>
                <w:sz w:val="22"/>
              </w:rPr>
            </w:pPr>
            <w:r w:rsidRPr="0031208D">
              <w:rPr>
                <w:sz w:val="22"/>
              </w:rPr>
              <w:t>O.1.2 – Število kosov infrastrukture, vzdrževane/popravljene</w:t>
            </w:r>
            <w:r w:rsidR="00A67CBD" w:rsidRPr="0031208D">
              <w:rPr>
                <w:sz w:val="22"/>
              </w:rPr>
              <w:t xml:space="preserve"> infrastrukture (0).</w:t>
            </w:r>
          </w:p>
          <w:p w14:paraId="002782DF" w14:textId="77777777" w:rsidR="009832F0" w:rsidRPr="0031208D" w:rsidRDefault="00CF67EC" w:rsidP="00A67CBD">
            <w:pPr>
              <w:spacing w:after="0"/>
              <w:rPr>
                <w:sz w:val="22"/>
              </w:rPr>
            </w:pPr>
            <w:r w:rsidRPr="0031208D">
              <w:rPr>
                <w:sz w:val="22"/>
              </w:rPr>
              <w:t xml:space="preserve">O.1.4 – </w:t>
            </w:r>
            <w:r w:rsidR="00A67CBD" w:rsidRPr="0031208D">
              <w:rPr>
                <w:sz w:val="22"/>
              </w:rPr>
              <w:t>Število zgrajenih/posodobljenih objektov za mejne prehode (0).</w:t>
            </w:r>
          </w:p>
          <w:p w14:paraId="01FA2FA8" w14:textId="6A1384C1" w:rsidR="009832F0" w:rsidRPr="0031208D" w:rsidRDefault="00A63E89" w:rsidP="006C7DB6">
            <w:pPr>
              <w:spacing w:after="0"/>
              <w:rPr>
                <w:sz w:val="22"/>
              </w:rPr>
            </w:pPr>
            <w:r w:rsidRPr="0031208D">
              <w:rPr>
                <w:sz w:val="22"/>
              </w:rPr>
              <w:t> </w:t>
            </w:r>
            <w:r w:rsidR="00A67CBD" w:rsidRPr="0031208D">
              <w:rPr>
                <w:sz w:val="22"/>
              </w:rPr>
              <w:t>O.1.5</w:t>
            </w:r>
            <w:r w:rsidRPr="0031208D">
              <w:rPr>
                <w:sz w:val="22"/>
              </w:rPr>
              <w:t> </w:t>
            </w:r>
            <w:r w:rsidR="00A67CBD" w:rsidRPr="0031208D">
              <w:rPr>
                <w:sz w:val="22"/>
              </w:rPr>
              <w:t>-</w:t>
            </w:r>
            <w:r w:rsidRPr="0031208D">
              <w:rPr>
                <w:sz w:val="22"/>
              </w:rPr>
              <w:t> </w:t>
            </w:r>
            <w:r w:rsidR="00A67CBD" w:rsidRPr="0031208D">
              <w:rPr>
                <w:sz w:val="22"/>
              </w:rPr>
              <w:t>Število kupljenih zrakoplovov (0) in O.1.5.1 - od česar število kupljenih brezpilotnih zrakoplovov (0)</w:t>
            </w:r>
            <w:r w:rsidR="0002250F" w:rsidRPr="0031208D">
              <w:rPr>
                <w:sz w:val="22"/>
              </w:rPr>
              <w:t>.</w:t>
            </w:r>
          </w:p>
          <w:p w14:paraId="76B39552" w14:textId="77777777" w:rsidR="009832F0" w:rsidRPr="0031208D" w:rsidRDefault="00A63E89" w:rsidP="00FF7F2A">
            <w:pPr>
              <w:spacing w:after="0"/>
              <w:rPr>
                <w:sz w:val="22"/>
              </w:rPr>
            </w:pPr>
            <w:r w:rsidRPr="0031208D">
              <w:rPr>
                <w:sz w:val="22"/>
              </w:rPr>
              <w:t xml:space="preserve"> </w:t>
            </w:r>
            <w:r w:rsidR="006C7DB6" w:rsidRPr="0031208D">
              <w:rPr>
                <w:sz w:val="22"/>
              </w:rPr>
              <w:t>O.1.7 - Število kupljenih kopenskih prevoznih sredstev (0): Mejnik in cilj sta bila revidirana. Zaradi usklajevanj glede upravičenosti nakupa je nabava vozil zamaknjena, postopek javnega naročila je v teku. Pričakujemo, da bo revidirani cilj (vključno z dodatnimi 20 vozili za Pakt) dosežen.</w:t>
            </w:r>
          </w:p>
          <w:p w14:paraId="03DB2806" w14:textId="50981D94" w:rsidR="00FF7F2A" w:rsidRPr="0031208D" w:rsidRDefault="00A63E89" w:rsidP="00FF7F2A">
            <w:pPr>
              <w:spacing w:after="0"/>
              <w:rPr>
                <w:sz w:val="22"/>
              </w:rPr>
            </w:pPr>
            <w:r w:rsidRPr="0031208D">
              <w:rPr>
                <w:sz w:val="22"/>
              </w:rPr>
              <w:t> </w:t>
            </w:r>
            <w:r w:rsidR="00707356" w:rsidRPr="0031208D">
              <w:rPr>
                <w:sz w:val="22"/>
              </w:rPr>
              <w:t xml:space="preserve">O.1.8 - Število udeležencev, ki so prejeli podporo (8) in O.1.8.1 - od tega število udeležencev dejavnosti usposabljanja (2) in R.1.19 - Število udeležencev, ki tri mesece po zaključku dejavnosti usposabljanja poročajo, da uporabljajo spretnosti in kompetence, pridobljene med to dejavnostjo usposabljanja (0): Pričakujemo, da bodo revidirani cilji, ki so v skladu z novimi vsebinami, doseženi. </w:t>
            </w:r>
          </w:p>
          <w:p w14:paraId="0FAE4566" w14:textId="288C94C3" w:rsidR="00FF7F2A" w:rsidRPr="0031208D" w:rsidRDefault="00FF7F2A" w:rsidP="00FF7F2A">
            <w:pPr>
              <w:spacing w:after="0"/>
              <w:rPr>
                <w:sz w:val="22"/>
              </w:rPr>
            </w:pPr>
            <w:r w:rsidRPr="0031208D">
              <w:rPr>
                <w:sz w:val="22"/>
              </w:rPr>
              <w:t>O.1.10-Število razvitih/ vzdrževanih/nadgrajenih funkcij informacijskih sistemov (1): zamuda, vendar se pričakuje, da bo cilj dosežen.</w:t>
            </w:r>
          </w:p>
          <w:p w14:paraId="167E98A9" w14:textId="40D72461" w:rsidR="00B25FBA" w:rsidRPr="0031208D" w:rsidRDefault="00B25FBA" w:rsidP="00B25FBA">
            <w:pPr>
              <w:spacing w:after="0"/>
              <w:rPr>
                <w:sz w:val="22"/>
              </w:rPr>
            </w:pPr>
            <w:r w:rsidRPr="0031208D">
              <w:rPr>
                <w:sz w:val="22"/>
              </w:rPr>
              <w:lastRenderedPageBreak/>
              <w:t>O.1.11- Število razvitih/vzdrževanih/nadgrajenih obsežnih informacijskih sistemov (2) in O.1.11.1-od tega število razvitih obsežnih informacijskih sistemov (2): Cilj je revidiran, pričakujemo, da bo ta dosežen.</w:t>
            </w:r>
          </w:p>
          <w:p w14:paraId="0076375E" w14:textId="1E1D387C" w:rsidR="00FF7F2A" w:rsidRPr="0031208D" w:rsidRDefault="0086142E" w:rsidP="007C745F">
            <w:pPr>
              <w:spacing w:after="0"/>
              <w:rPr>
                <w:sz w:val="22"/>
              </w:rPr>
            </w:pPr>
            <w:r w:rsidRPr="0031208D">
              <w:rPr>
                <w:sz w:val="22"/>
              </w:rPr>
              <w:t>R.1.14</w:t>
            </w:r>
            <w:r w:rsidR="007C745F" w:rsidRPr="0031208D">
              <w:rPr>
                <w:sz w:val="22"/>
              </w:rPr>
              <w:t> </w:t>
            </w:r>
            <w:r w:rsidRPr="0031208D">
              <w:rPr>
                <w:sz w:val="22"/>
              </w:rPr>
              <w:t>-</w:t>
            </w:r>
            <w:r w:rsidR="007C745F" w:rsidRPr="0031208D">
              <w:rPr>
                <w:sz w:val="22"/>
              </w:rPr>
              <w:t> </w:t>
            </w:r>
            <w:r w:rsidRPr="0031208D">
              <w:rPr>
                <w:sz w:val="22"/>
              </w:rPr>
              <w:t>Število kosov opreme, registriranih v naboru tehnične opreme Evropske agencije za mejno in obalno stražo (0) in R.1.15</w:t>
            </w:r>
            <w:r w:rsidR="007C745F" w:rsidRPr="0031208D">
              <w:rPr>
                <w:sz w:val="22"/>
              </w:rPr>
              <w:t> </w:t>
            </w:r>
            <w:r w:rsidRPr="0031208D">
              <w:rPr>
                <w:sz w:val="22"/>
              </w:rPr>
              <w:t>-</w:t>
            </w:r>
            <w:r w:rsidR="007C745F" w:rsidRPr="0031208D">
              <w:rPr>
                <w:sz w:val="22"/>
              </w:rPr>
              <w:t> </w:t>
            </w:r>
            <w:r w:rsidRPr="0031208D">
              <w:rPr>
                <w:sz w:val="22"/>
              </w:rPr>
              <w:t xml:space="preserve">Število kosov opreme, danih na razpolago Evropski agenciji za mejno in obalno stražo (0): Cilj je revidiran </w:t>
            </w:r>
            <w:r w:rsidR="007C745F" w:rsidRPr="0031208D">
              <w:rPr>
                <w:sz w:val="22"/>
              </w:rPr>
              <w:t xml:space="preserve">(posledica </w:t>
            </w:r>
            <w:r w:rsidR="006D0CC4" w:rsidRPr="0031208D">
              <w:rPr>
                <w:sz w:val="22"/>
              </w:rPr>
              <w:t xml:space="preserve">nižji </w:t>
            </w:r>
            <w:r w:rsidR="007C745F" w:rsidRPr="0031208D">
              <w:rPr>
                <w:sz w:val="22"/>
              </w:rPr>
              <w:t>količini opreme na operacijah; šteje se le novo registrirana oprema)</w:t>
            </w:r>
            <w:r w:rsidRPr="0031208D">
              <w:rPr>
                <w:sz w:val="22"/>
              </w:rPr>
              <w:t xml:space="preserve">. </w:t>
            </w:r>
            <w:r w:rsidR="007C745F" w:rsidRPr="0031208D">
              <w:rPr>
                <w:sz w:val="22"/>
              </w:rPr>
              <w:t>Nakup opreme se je zamaknil, zaradi usklajevanja upravičenosti, vendar pričakujemo, da bo cilj dosežen, postopki so v teku.</w:t>
            </w:r>
            <w:r w:rsidR="00FF7F2A" w:rsidRPr="0031208D">
              <w:rPr>
                <w:sz w:val="22"/>
              </w:rPr>
              <w:t xml:space="preserve"> </w:t>
            </w:r>
          </w:p>
          <w:p w14:paraId="5236D46F" w14:textId="733FC783" w:rsidR="00FF7F2A" w:rsidRPr="0031208D" w:rsidRDefault="001139C0" w:rsidP="00FF7F2A">
            <w:pPr>
              <w:spacing w:after="0"/>
              <w:rPr>
                <w:i/>
                <w:iCs/>
                <w:sz w:val="22"/>
              </w:rPr>
            </w:pPr>
            <w:r w:rsidRPr="0031208D">
              <w:rPr>
                <w:i/>
                <w:iCs/>
                <w:sz w:val="22"/>
              </w:rPr>
              <w:t xml:space="preserve">b) </w:t>
            </w:r>
            <w:r w:rsidR="007B1C55" w:rsidRPr="0031208D">
              <w:rPr>
                <w:i/>
                <w:iCs/>
                <w:sz w:val="22"/>
              </w:rPr>
              <w:t>Preostali kazalniki, na katere vstop HR v schengensko območje n</w:t>
            </w:r>
            <w:r w:rsidR="00EC37A9" w:rsidRPr="0031208D">
              <w:rPr>
                <w:i/>
                <w:iCs/>
                <w:sz w:val="22"/>
              </w:rPr>
              <w:t>i</w:t>
            </w:r>
            <w:r w:rsidR="007B1C55" w:rsidRPr="0031208D">
              <w:rPr>
                <w:i/>
                <w:iCs/>
                <w:sz w:val="22"/>
              </w:rPr>
              <w:t xml:space="preserve"> vpliva</w:t>
            </w:r>
            <w:r w:rsidR="00EC37A9" w:rsidRPr="0031208D">
              <w:rPr>
                <w:i/>
                <w:iCs/>
                <w:sz w:val="22"/>
              </w:rPr>
              <w:t>l</w:t>
            </w:r>
            <w:r w:rsidR="007B1C55" w:rsidRPr="0031208D">
              <w:rPr>
                <w:i/>
                <w:iCs/>
                <w:sz w:val="22"/>
              </w:rPr>
              <w:t xml:space="preserve"> neposredno:</w:t>
            </w:r>
          </w:p>
          <w:p w14:paraId="56FE201F" w14:textId="583D54CF" w:rsidR="007A384B" w:rsidRPr="0031208D" w:rsidRDefault="007A384B" w:rsidP="007A384B">
            <w:pPr>
              <w:spacing w:after="0"/>
              <w:rPr>
                <w:sz w:val="22"/>
              </w:rPr>
            </w:pPr>
            <w:r w:rsidRPr="0031208D">
              <w:rPr>
                <w:sz w:val="22"/>
              </w:rPr>
              <w:t xml:space="preserve">O.1.1.1 - od tega število kupljenih sistemov za avtomatizirani nadzor meje/samopostrežnih sistemov/e-prehodov (0): To je na novo dodan kazalnik, z zadnjo oddano </w:t>
            </w:r>
            <w:r w:rsidR="00BF2E5C" w:rsidRPr="0031208D">
              <w:rPr>
                <w:sz w:val="22"/>
              </w:rPr>
              <w:t>različico</w:t>
            </w:r>
            <w:r w:rsidRPr="0031208D">
              <w:rPr>
                <w:sz w:val="22"/>
              </w:rPr>
              <w:t xml:space="preserve"> programa je planirana vrednost za 2029</w:t>
            </w:r>
            <w:r w:rsidR="00BF2E5C" w:rsidRPr="0031208D">
              <w:rPr>
                <w:sz w:val="22"/>
              </w:rPr>
              <w:t> </w:t>
            </w:r>
            <w:r w:rsidRPr="0031208D">
              <w:rPr>
                <w:sz w:val="22"/>
              </w:rPr>
              <w:t>-</w:t>
            </w:r>
            <w:r w:rsidR="00BF2E5C" w:rsidRPr="0031208D">
              <w:rPr>
                <w:sz w:val="22"/>
              </w:rPr>
              <w:t> </w:t>
            </w:r>
            <w:r w:rsidRPr="0031208D">
              <w:rPr>
                <w:sz w:val="22"/>
              </w:rPr>
              <w:t>10, ki menimo, da bo dosežena.</w:t>
            </w:r>
          </w:p>
          <w:p w14:paraId="5552BC4A" w14:textId="3CC11493" w:rsidR="007C4C06" w:rsidRPr="0031208D" w:rsidRDefault="007C4C06" w:rsidP="007C4C06">
            <w:pPr>
              <w:spacing w:after="0"/>
              <w:rPr>
                <w:sz w:val="22"/>
              </w:rPr>
            </w:pPr>
            <w:r w:rsidRPr="0031208D">
              <w:rPr>
                <w:sz w:val="22"/>
              </w:rPr>
              <w:t>O.1.6 -Število kupljenih pomorskih prevoznih sredstev (0): Planirana ciljna vrednost (2029) je 2 in glede na potek pričakujemo, da bo dosežena.</w:t>
            </w:r>
          </w:p>
          <w:p w14:paraId="15C20C91" w14:textId="4FA14BE7" w:rsidR="007C4C06" w:rsidRPr="0031208D" w:rsidRDefault="007C4C06" w:rsidP="007C4C06">
            <w:pPr>
              <w:spacing w:after="0"/>
              <w:rPr>
                <w:sz w:val="22"/>
              </w:rPr>
            </w:pPr>
            <w:r w:rsidRPr="0031208D">
              <w:rPr>
                <w:sz w:val="22"/>
              </w:rPr>
              <w:t>O.1.9</w:t>
            </w:r>
            <w:r w:rsidR="00142038" w:rsidRPr="0031208D">
              <w:rPr>
                <w:sz w:val="22"/>
              </w:rPr>
              <w:t> </w:t>
            </w:r>
            <w:r w:rsidRPr="0031208D">
              <w:rPr>
                <w:sz w:val="22"/>
              </w:rPr>
              <w:t>-</w:t>
            </w:r>
            <w:r w:rsidR="00142038" w:rsidRPr="0031208D">
              <w:rPr>
                <w:sz w:val="22"/>
              </w:rPr>
              <w:t> </w:t>
            </w:r>
            <w:r w:rsidRPr="0031208D">
              <w:rPr>
                <w:sz w:val="22"/>
              </w:rPr>
              <w:t xml:space="preserve">Število uradnikov za zvezo za priseljevanje, napotenih v tretje države (7 je sicer podatek iz prenosa podatkov (MIGRA), pravilna dosežena vrednost je 3): Planirana ciljna vrednost je 6, do časa poročanja, je realizirana vrednost 3. </w:t>
            </w:r>
          </w:p>
          <w:p w14:paraId="01C3A1C1" w14:textId="159687D7" w:rsidR="00142038" w:rsidRPr="0031208D" w:rsidRDefault="00142038" w:rsidP="00142038">
            <w:pPr>
              <w:spacing w:after="0"/>
              <w:rPr>
                <w:sz w:val="22"/>
              </w:rPr>
            </w:pPr>
            <w:r w:rsidRPr="0031208D">
              <w:rPr>
                <w:sz w:val="22"/>
              </w:rPr>
              <w:t>O.1.13 - Število oseb, ki so zaprosile za mednarodno zaščito na mejnih prehodih (0): Gre za napako v poročanju, ki bo popravljena (kazalnik ni vključen v podprte operacije, zato o njem ni por</w:t>
            </w:r>
            <w:r w:rsidR="00877EF9" w:rsidRPr="0031208D">
              <w:rPr>
                <w:sz w:val="22"/>
              </w:rPr>
              <w:t>o</w:t>
            </w:r>
            <w:r w:rsidRPr="0031208D">
              <w:rPr>
                <w:sz w:val="22"/>
              </w:rPr>
              <w:t>čanja).</w:t>
            </w:r>
          </w:p>
          <w:p w14:paraId="09C60849" w14:textId="5F91F092" w:rsidR="00CF67EC" w:rsidRPr="0031208D" w:rsidRDefault="00142038" w:rsidP="0011143B">
            <w:pPr>
              <w:spacing w:after="0"/>
              <w:rPr>
                <w:sz w:val="22"/>
              </w:rPr>
            </w:pPr>
            <w:r w:rsidRPr="0031208D">
              <w:rPr>
                <w:sz w:val="22"/>
              </w:rPr>
              <w:t>R.1.16 - Število vzpostavljenih / izboljšanih oblik sodelovanja med nacionalnimi organi in nacionalnimi koordinacijskimi centri EUROSUR (0). Aktivnosti se izvajajo in ciljna vrednost (1) bo dosežena, saj se poroča na koncu izvajanja operacije.</w:t>
            </w:r>
            <w:r w:rsidR="00877EF9" w:rsidRPr="0031208D">
              <w:rPr>
                <w:sz w:val="22"/>
              </w:rPr>
              <w:t> R.1.17 - Število prehajanj meje preko sistemov za avtomatizirani nadzor meje in e-prehodov (0): Izvajanje avtomatiziranega nadzora meje in e-prehodov zamuja, zaradi zakasnitve njegove vzpostavitve.</w:t>
            </w:r>
          </w:p>
          <w:p w14:paraId="77AE4795" w14:textId="04E34069" w:rsidR="00877EF9" w:rsidRPr="0031208D" w:rsidRDefault="00877EF9" w:rsidP="00877EF9">
            <w:pPr>
              <w:spacing w:after="0"/>
              <w:rPr>
                <w:sz w:val="22"/>
              </w:rPr>
            </w:pPr>
            <w:r w:rsidRPr="0031208D">
              <w:rPr>
                <w:sz w:val="22"/>
              </w:rPr>
              <w:t>R.1.20 - Število oseb, ki so jim mejni organi zavrnili vstop (0): to je vsebinski kazalnik, katerega vrednost bo popravljena v naslednjih fazah poročanja.</w:t>
            </w:r>
          </w:p>
          <w:p w14:paraId="47CE92B5" w14:textId="6C0C9A7E" w:rsidR="00142038" w:rsidRPr="0031208D" w:rsidRDefault="00142038" w:rsidP="00142038">
            <w:pPr>
              <w:spacing w:after="0"/>
              <w:rPr>
                <w:sz w:val="22"/>
              </w:rPr>
            </w:pPr>
            <w:r w:rsidRPr="0031208D">
              <w:rPr>
                <w:sz w:val="22"/>
              </w:rPr>
              <w:tab/>
            </w:r>
            <w:r w:rsidRPr="0031208D">
              <w:rPr>
                <w:sz w:val="22"/>
              </w:rPr>
              <w:tab/>
            </w:r>
            <w:r w:rsidRPr="0031208D">
              <w:rPr>
                <w:sz w:val="22"/>
              </w:rPr>
              <w:tab/>
            </w:r>
          </w:p>
          <w:p w14:paraId="57686BF0" w14:textId="77777777" w:rsidR="0011143B" w:rsidRPr="0031208D" w:rsidRDefault="0011143B" w:rsidP="0011143B">
            <w:pPr>
              <w:rPr>
                <w:b/>
                <w:bCs/>
                <w:sz w:val="22"/>
              </w:rPr>
            </w:pPr>
            <w:bookmarkStart w:id="1" w:name="_Hlk224554311"/>
            <w:r w:rsidRPr="0031208D">
              <w:rPr>
                <w:b/>
                <w:bCs/>
                <w:sz w:val="22"/>
              </w:rPr>
              <w:t>SO2</w:t>
            </w:r>
          </w:p>
          <w:p w14:paraId="6A585A36" w14:textId="27FF5ACA" w:rsidR="00437D7F" w:rsidRPr="0031208D" w:rsidRDefault="0011143B" w:rsidP="0011143B">
            <w:pPr>
              <w:spacing w:after="0"/>
              <w:rPr>
                <w:sz w:val="22"/>
              </w:rPr>
            </w:pPr>
            <w:r w:rsidRPr="0031208D">
              <w:rPr>
                <w:sz w:val="22"/>
              </w:rPr>
              <w:t>O.2.1-Število projektov v podporo digitalizaciji obravnave vlog za izdajo vizuma (4): Mejnik 1 je dosežen. Prvotno je bila planirana ciljna vrednost 1, potem so se aktivnosti razdružile v več projektov, zato sta realizirana vrednost (4) in ciljna vrednost v zadnji verziji programa (7) višji, dodani sta tudi dve novi operaciji.</w:t>
            </w:r>
          </w:p>
          <w:p w14:paraId="3381CF18" w14:textId="52B6B91E" w:rsidR="0011143B" w:rsidRPr="0031208D" w:rsidRDefault="0011143B" w:rsidP="0011143B">
            <w:pPr>
              <w:spacing w:after="0"/>
              <w:rPr>
                <w:sz w:val="22"/>
              </w:rPr>
            </w:pPr>
            <w:r w:rsidRPr="0031208D">
              <w:rPr>
                <w:sz w:val="22"/>
              </w:rPr>
              <w:t>O.2.5</w:t>
            </w:r>
            <w:r w:rsidR="003D0D00" w:rsidRPr="0031208D">
              <w:rPr>
                <w:sz w:val="22"/>
              </w:rPr>
              <w:t> </w:t>
            </w:r>
            <w:r w:rsidRPr="0031208D">
              <w:rPr>
                <w:sz w:val="22"/>
              </w:rPr>
              <w:t>-</w:t>
            </w:r>
            <w:r w:rsidR="003D0D00" w:rsidRPr="0031208D">
              <w:rPr>
                <w:sz w:val="22"/>
              </w:rPr>
              <w:t> </w:t>
            </w:r>
            <w:r w:rsidRPr="0031208D">
              <w:rPr>
                <w:sz w:val="22"/>
              </w:rPr>
              <w:t>Število razvitih/vzdrževanih/nadgrajenih obsežnih informacijskih sistemov (1): Prvotno je bila planirana ciljna vrednost 2, zaradi napačnega štetja obsežnih informacijskih sistemov, kar je korigirano v zadnji verziji programa. Kazalnik je dosežen.</w:t>
            </w:r>
          </w:p>
          <w:p w14:paraId="15F2A21D" w14:textId="312A4DE6" w:rsidR="0011143B" w:rsidRPr="0031208D" w:rsidRDefault="0011143B" w:rsidP="0011143B">
            <w:pPr>
              <w:spacing w:after="0"/>
              <w:rPr>
                <w:sz w:val="22"/>
              </w:rPr>
            </w:pPr>
            <w:r w:rsidRPr="0031208D">
              <w:rPr>
                <w:sz w:val="22"/>
              </w:rPr>
              <w:t>O.2.5.1</w:t>
            </w:r>
            <w:r w:rsidR="003D0D00" w:rsidRPr="0031208D">
              <w:rPr>
                <w:sz w:val="22"/>
              </w:rPr>
              <w:t> </w:t>
            </w:r>
            <w:r w:rsidRPr="0031208D">
              <w:rPr>
                <w:sz w:val="22"/>
              </w:rPr>
              <w:t>-</w:t>
            </w:r>
            <w:r w:rsidR="003D0D00" w:rsidRPr="0031208D">
              <w:rPr>
                <w:sz w:val="22"/>
              </w:rPr>
              <w:t> </w:t>
            </w:r>
            <w:r w:rsidRPr="0031208D">
              <w:rPr>
                <w:sz w:val="22"/>
              </w:rPr>
              <w:t xml:space="preserve">od tega število razvitih obsežnih informacijskih sistemov (0): Prvotno je bila planirana ciljna vrednost 1, zaradi napačnega štetja obsežnih informacijskih sistemov, kar je korigirano v zadnji verziji programa (0). </w:t>
            </w:r>
          </w:p>
          <w:p w14:paraId="4F409C40" w14:textId="56610E29" w:rsidR="00266741" w:rsidRPr="0031208D" w:rsidRDefault="0011143B" w:rsidP="0011143B">
            <w:pPr>
              <w:spacing w:after="0"/>
              <w:rPr>
                <w:sz w:val="22"/>
              </w:rPr>
            </w:pPr>
            <w:r w:rsidRPr="0031208D">
              <w:rPr>
                <w:sz w:val="22"/>
              </w:rPr>
              <w:t>O.2.6-Število kosov vzdrževane/popravljene infrastrukture (7): Kazalnik je presežen (ciljna vrednost 5)</w:t>
            </w:r>
            <w:r w:rsidR="00A71A3F" w:rsidRPr="0031208D">
              <w:rPr>
                <w:sz w:val="22"/>
              </w:rPr>
              <w:t>, zaradi upoštevane napačne metodologije štetja napredka kazalnika. Posledično je na kazalnik vplivala operacija, ki vsebinsko po definiciji ne sodi v ta kazalnik</w:t>
            </w:r>
            <w:r w:rsidR="00520AF6" w:rsidRPr="0031208D">
              <w:rPr>
                <w:sz w:val="22"/>
              </w:rPr>
              <w:t>. Napaka je z novo verzijo programa odpravljena (dejanska vrednost na mejniku 2024 bi bila 1).</w:t>
            </w:r>
          </w:p>
          <w:p w14:paraId="359D162E" w14:textId="4E9FADD2" w:rsidR="0011143B" w:rsidRPr="0031208D" w:rsidRDefault="0011143B" w:rsidP="0011143B">
            <w:pPr>
              <w:spacing w:after="0"/>
              <w:rPr>
                <w:sz w:val="22"/>
              </w:rPr>
            </w:pPr>
            <w:r w:rsidRPr="0031208D">
              <w:rPr>
                <w:sz w:val="22"/>
              </w:rPr>
              <w:t xml:space="preserve">R.2.8-Število novih/ posodobljenih konzulatov zunaj schengenskega območja (1) in R.2.8.1-od tega število konzulatov, ki so bili posodobljeni, da bi bili prijaznejši do prosilcev za vizum (0): </w:t>
            </w:r>
            <w:r w:rsidR="00520AF6" w:rsidRPr="0031208D">
              <w:rPr>
                <w:sz w:val="22"/>
              </w:rPr>
              <w:t>Napredek kazalnika je slabši, ker pri operaciji, ki vpliva nanj, pomotoma tega nismo upoštevali. Napaka bo odpravljena. Sicer so tudi ostale o</w:t>
            </w:r>
            <w:r w:rsidRPr="0031208D">
              <w:rPr>
                <w:sz w:val="22"/>
              </w:rPr>
              <w:t xml:space="preserve">peracije v teku, </w:t>
            </w:r>
            <w:r w:rsidR="00520AF6" w:rsidRPr="0031208D">
              <w:rPr>
                <w:sz w:val="22"/>
              </w:rPr>
              <w:t xml:space="preserve">zato se </w:t>
            </w:r>
            <w:r w:rsidRPr="0031208D">
              <w:rPr>
                <w:sz w:val="22"/>
              </w:rPr>
              <w:t>pričakuje doseganje kazalnikov.</w:t>
            </w:r>
          </w:p>
          <w:p w14:paraId="2C9B1790" w14:textId="0AB338DC" w:rsidR="0011143B" w:rsidRPr="0031208D" w:rsidRDefault="0011143B" w:rsidP="00D171CD">
            <w:pPr>
              <w:rPr>
                <w:sz w:val="22"/>
              </w:rPr>
            </w:pPr>
            <w:r w:rsidRPr="0031208D">
              <w:rPr>
                <w:sz w:val="22"/>
              </w:rPr>
              <w:lastRenderedPageBreak/>
              <w:t>R.2.10-Število vlog za izdajo vizuma, predloženih v digitalni obliki (0): Razlog za poročano vrednost nič je, da kazalnika, nismo vključili pod nobeno operacijo, in ga upravičenci niso poročali. Napako bomo odpravili.</w:t>
            </w:r>
          </w:p>
          <w:p w14:paraId="7E615C9F" w14:textId="63D2E4A9" w:rsidR="001C0998" w:rsidRPr="0031208D" w:rsidRDefault="00291D52" w:rsidP="00291D52">
            <w:pPr>
              <w:rPr>
                <w:sz w:val="22"/>
              </w:rPr>
            </w:pPr>
            <w:r w:rsidRPr="0031208D">
              <w:rPr>
                <w:noProof/>
                <w:sz w:val="22"/>
              </w:rPr>
              <w:t>OU ne razpolaga z informacijami v zvezi s postopki za ugotavljanje kršitev na podlagi 258. člena Pogodbe o delovanju Evropske unije (PDEU), v povezavi z izvajanjem programa IUMV.</w:t>
            </w:r>
            <w:bookmarkEnd w:id="1"/>
          </w:p>
        </w:tc>
      </w:tr>
    </w:tbl>
    <w:p w14:paraId="301C0311" w14:textId="77777777" w:rsidR="00AD502C" w:rsidRPr="0031208D" w:rsidRDefault="001C1609" w:rsidP="001C1609">
      <w:pPr>
        <w:pStyle w:val="ManualHeading2"/>
        <w:rPr>
          <w:noProof/>
          <w:sz w:val="22"/>
        </w:rPr>
      </w:pPr>
      <w:r w:rsidRPr="0031208D">
        <w:rPr>
          <w:sz w:val="22"/>
        </w:rPr>
        <w:lastRenderedPageBreak/>
        <w:t>1.3.</w:t>
      </w:r>
      <w:r w:rsidRPr="0031208D">
        <w:rPr>
          <w:sz w:val="22"/>
        </w:rPr>
        <w:tab/>
      </w:r>
      <w:r w:rsidR="00AD502C" w:rsidRPr="0031208D">
        <w:rPr>
          <w:noProof/>
          <w:sz w:val="22"/>
        </w:rPr>
        <w:t>Posebni blažilni ukrepi</w:t>
      </w:r>
    </w:p>
    <w:p w14:paraId="3DAE60D8" w14:textId="77777777" w:rsidR="00AD502C" w:rsidRPr="0031208D" w:rsidRDefault="00AD502C" w:rsidP="00AD502C">
      <w:pPr>
        <w:rPr>
          <w:noProof/>
          <w:sz w:val="22"/>
        </w:rPr>
      </w:pPr>
      <w:r w:rsidRPr="0031208D">
        <w:rPr>
          <w:b/>
          <w:noProof/>
          <w:sz w:val="22"/>
        </w:rPr>
        <w:t>Če je ustrezno</w:t>
      </w:r>
      <w:r w:rsidRPr="0031208D">
        <w:rPr>
          <w:noProof/>
          <w:sz w:val="22"/>
        </w:rPr>
        <w:t xml:space="preserve">, na kratko opišite, kako so dejavnosti programa prispevale k ublažitvi učinkov morebitnih relevantnih in nenadnih sprememb pritiska na upravljanje zunanjih meja, ki so posledica kakršnega koli nepredvidenega poslabšanja socialno-ekonomskih ali političnih razmer v tretjih državah, kot je ustrezno. Kadar koli je mogoče, navedite obseg sredstev, prerazporejenih v ta namen, ter s tem povezane dosežene učinke in rezultate. </w:t>
      </w:r>
    </w:p>
    <w:p w14:paraId="65C604C0" w14:textId="77777777" w:rsidR="00AD502C" w:rsidRPr="0031208D" w:rsidRDefault="00AD502C" w:rsidP="00AD502C">
      <w:pPr>
        <w:rPr>
          <w:noProof/>
          <w:sz w:val="22"/>
        </w:rPr>
      </w:pPr>
      <w:r w:rsidRPr="0031208D">
        <w:rPr>
          <w:noProof/>
          <w:sz w:val="22"/>
        </w:rPr>
        <w:t>Posebno pozornost namenite dejavnostim, ki se izvajajo za ublažitev učinkov takih nenadnih sprememb in katerih dosežki morda ne bodo v celoti zajeti s skupnimi kazalniki učinka in rezultatov.</w:t>
      </w:r>
    </w:p>
    <w:tbl>
      <w:tblPr>
        <w:tblStyle w:val="Tabelamrea"/>
        <w:tblW w:w="0" w:type="auto"/>
        <w:tblLook w:val="04A0" w:firstRow="1" w:lastRow="0" w:firstColumn="1" w:lastColumn="0" w:noHBand="0" w:noVBand="1"/>
      </w:tblPr>
      <w:tblGrid>
        <w:gridCol w:w="9063"/>
      </w:tblGrid>
      <w:tr w:rsidR="0031208D" w:rsidRPr="0031208D" w14:paraId="3E770070" w14:textId="77777777" w:rsidTr="00E45665">
        <w:tc>
          <w:tcPr>
            <w:tcW w:w="9289" w:type="dxa"/>
          </w:tcPr>
          <w:p w14:paraId="6C3B681B" w14:textId="77777777" w:rsidR="00AD502C" w:rsidRPr="0031208D" w:rsidRDefault="004F202D" w:rsidP="002800DD">
            <w:pPr>
              <w:rPr>
                <w:noProof/>
                <w:sz w:val="22"/>
              </w:rPr>
            </w:pPr>
            <w:r w:rsidRPr="0031208D">
              <w:rPr>
                <w:noProof/>
                <w:sz w:val="22"/>
              </w:rPr>
              <w:t xml:space="preserve">Ocenjujemo, da so aktivnosti programa IUMV </w:t>
            </w:r>
            <w:r w:rsidR="001F2147" w:rsidRPr="0031208D">
              <w:rPr>
                <w:noProof/>
                <w:sz w:val="22"/>
              </w:rPr>
              <w:t xml:space="preserve">v </w:t>
            </w:r>
            <w:r w:rsidR="00445597" w:rsidRPr="0031208D">
              <w:rPr>
                <w:noProof/>
                <w:sz w:val="22"/>
              </w:rPr>
              <w:t xml:space="preserve">obračunskem </w:t>
            </w:r>
            <w:r w:rsidR="001F2147" w:rsidRPr="0031208D">
              <w:rPr>
                <w:noProof/>
                <w:sz w:val="22"/>
              </w:rPr>
              <w:t>obdobju</w:t>
            </w:r>
            <w:r w:rsidR="00982A84" w:rsidRPr="0031208D">
              <w:rPr>
                <w:noProof/>
                <w:sz w:val="22"/>
              </w:rPr>
              <w:t xml:space="preserve"> poročanja</w:t>
            </w:r>
            <w:r w:rsidR="001F2147" w:rsidRPr="0031208D">
              <w:rPr>
                <w:noProof/>
                <w:sz w:val="22"/>
              </w:rPr>
              <w:t xml:space="preserve"> </w:t>
            </w:r>
            <w:r w:rsidR="002800DD" w:rsidRPr="0031208D">
              <w:rPr>
                <w:noProof/>
                <w:sz w:val="22"/>
              </w:rPr>
              <w:t>posredno vplivale k ublažitvi učinkov sprememb pritiska na upravljanje zunanjih meja, ki so nastale kot posledica nepredvidenega poslabšanja socialno-ekonomskih ali političnih razmer v tretjih državah (npr. zaradi razmer na Bližnjem vzhodu, v Afganistanu, Siriji, Ukrajini), vendar za ta namen niso bila prerazporejena sredstva.</w:t>
            </w:r>
          </w:p>
          <w:p w14:paraId="78B1221F" w14:textId="156683A0" w:rsidR="008E6DD6" w:rsidRPr="0031208D" w:rsidRDefault="008E6DD6" w:rsidP="002800DD">
            <w:pPr>
              <w:rPr>
                <w:noProof/>
                <w:sz w:val="22"/>
              </w:rPr>
            </w:pPr>
            <w:r w:rsidRPr="0031208D">
              <w:rPr>
                <w:noProof/>
                <w:sz w:val="22"/>
              </w:rPr>
              <w:t>Nenadne spremembe pritiska na upravljanje meja, ki so posledica kakršnega koli nepredvidenega poslabšanja socialno-ekonomski ali političnih razmer v tretjih državah, lahko povzročijo motnje v izvajanju procesov in delovanju, če sistemi, ki so vzpostavljeni za upravljanje zunanjih meja, niso robustni, stabilni, redno posodabljani in skladni z najnovejšimi standardi. Povečajo se tveganja za motnje oz. vrzeli v upravljanju meja, posledično se poveča tveganje nezakonitega priseljevanja in čezmejnega kriminala, pomanjkljivega upravljanja migracijskih tokov, na drugi strani pa takšna preobremenjenost sistema lahko prispeva tudi k zmanjšanju učinkovitosti pri omogočanju zakonitih potovanj. Vsa vlaganja preko IUMV v modernizacijo, posodabljanje, višanje varnostnih standardov, usposobljenost in razpoložljivost ključnih kadrov ipd. tako prispevajo k stabilnosti in robustnosti sistema, ki je bolj odporen na šoke in – vsaj posredno, če že ne neposredno – zmanjšujejo (morebitne negativne) učinke nenadnih sprememb pritiska na upravljanje meja.</w:t>
            </w:r>
          </w:p>
        </w:tc>
      </w:tr>
    </w:tbl>
    <w:p w14:paraId="7658A838" w14:textId="77777777" w:rsidR="00AD502C" w:rsidRPr="0031208D" w:rsidRDefault="001C1609" w:rsidP="001C1609">
      <w:pPr>
        <w:pStyle w:val="ManualHeading2"/>
        <w:rPr>
          <w:noProof/>
          <w:sz w:val="22"/>
        </w:rPr>
      </w:pPr>
      <w:r w:rsidRPr="0031208D">
        <w:rPr>
          <w:sz w:val="22"/>
        </w:rPr>
        <w:t>1.4.</w:t>
      </w:r>
      <w:r w:rsidRPr="0031208D">
        <w:rPr>
          <w:sz w:val="22"/>
        </w:rPr>
        <w:tab/>
      </w:r>
      <w:r w:rsidR="00AD502C" w:rsidRPr="0031208D">
        <w:rPr>
          <w:noProof/>
          <w:sz w:val="22"/>
        </w:rPr>
        <w:t>Operativna podpora – člen 16(3) Uredbe (EU) 2021/1148</w:t>
      </w:r>
    </w:p>
    <w:p w14:paraId="423A5CE3" w14:textId="77777777" w:rsidR="00AD502C" w:rsidRPr="0031208D" w:rsidRDefault="00C62604" w:rsidP="00804A12">
      <w:pPr>
        <w:rPr>
          <w:noProof/>
          <w:sz w:val="22"/>
        </w:rPr>
      </w:pPr>
      <w:r w:rsidRPr="0031208D">
        <w:rPr>
          <w:noProof/>
          <w:sz w:val="22"/>
        </w:rPr>
        <w:t>Če je bila med obračunskim letom uporabljena operativna podpora, opišite, kako je prispevala k doseganju ciljev Instrumenta</w:t>
      </w:r>
      <w:r w:rsidRPr="0031208D">
        <w:rPr>
          <w:rStyle w:val="Sprotnaopomba-sklic"/>
          <w:noProof/>
          <w:sz w:val="22"/>
        </w:rPr>
        <w:footnoteReference w:id="7"/>
      </w:r>
      <w:r w:rsidRPr="0031208D">
        <w:rPr>
          <w:noProof/>
          <w:sz w:val="22"/>
        </w:rPr>
        <w:t xml:space="preserve">. </w:t>
      </w:r>
    </w:p>
    <w:p w14:paraId="540A43B6" w14:textId="77777777" w:rsidR="00AD502C" w:rsidRPr="0031208D" w:rsidRDefault="0053671E" w:rsidP="00AD502C">
      <w:pPr>
        <w:rPr>
          <w:noProof/>
          <w:sz w:val="22"/>
        </w:rPr>
      </w:pPr>
      <w:r w:rsidRPr="0031208D">
        <w:rPr>
          <w:noProof/>
          <w:sz w:val="22"/>
        </w:rPr>
        <w:t xml:space="preserve">Pojasnite, ali je bila operativna podpora uporabljena za delovanje in vzdrževanje obsežnih informacijskih sistemov, vključno z Evropskim sistemom za potovalne informacije in odobritve (ETIAS). </w:t>
      </w:r>
    </w:p>
    <w:p w14:paraId="28D46F64" w14:textId="77777777" w:rsidR="00AD502C" w:rsidRPr="0031208D" w:rsidRDefault="00A148D3" w:rsidP="00AD502C">
      <w:pPr>
        <w:rPr>
          <w:noProof/>
          <w:sz w:val="22"/>
        </w:rPr>
      </w:pPr>
      <w:r w:rsidRPr="0031208D">
        <w:rPr>
          <w:noProof/>
          <w:sz w:val="22"/>
        </w:rPr>
        <w:t>Če skupni kumulativni upravičeni stroški operativne podpore za operacije, izbrane za podporo, ob koncu obračunskega leta presegajo 33 %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Pr>
      <w:tblGrid>
        <w:gridCol w:w="9063"/>
      </w:tblGrid>
      <w:tr w:rsidR="0031208D" w:rsidRPr="0031208D" w14:paraId="25510773" w14:textId="77777777" w:rsidTr="00FE66F3">
        <w:trPr>
          <w:trHeight w:val="1265"/>
        </w:trPr>
        <w:tc>
          <w:tcPr>
            <w:tcW w:w="9289" w:type="dxa"/>
          </w:tcPr>
          <w:p w14:paraId="0EA00AE1" w14:textId="4ACE243D" w:rsidR="00F37DD7" w:rsidRPr="0031208D" w:rsidRDefault="00584E8C" w:rsidP="00F37DD7">
            <w:pPr>
              <w:rPr>
                <w:noProof/>
                <w:sz w:val="22"/>
              </w:rPr>
            </w:pPr>
            <w:r w:rsidRPr="0031208D">
              <w:rPr>
                <w:noProof/>
                <w:sz w:val="22"/>
              </w:rPr>
              <w:lastRenderedPageBreak/>
              <w:t xml:space="preserve">Slovenija </w:t>
            </w:r>
            <w:r w:rsidR="001772E2" w:rsidRPr="0031208D">
              <w:rPr>
                <w:noProof/>
                <w:sz w:val="22"/>
              </w:rPr>
              <w:t xml:space="preserve">je </w:t>
            </w:r>
            <w:r w:rsidRPr="0031208D">
              <w:rPr>
                <w:noProof/>
                <w:sz w:val="22"/>
              </w:rPr>
              <w:t>v obračunskem obdobju</w:t>
            </w:r>
            <w:r w:rsidR="00982A84" w:rsidRPr="0031208D">
              <w:rPr>
                <w:noProof/>
                <w:sz w:val="22"/>
              </w:rPr>
              <w:t xml:space="preserve"> poročanja</w:t>
            </w:r>
            <w:r w:rsidR="00F37DD7" w:rsidRPr="0031208D">
              <w:rPr>
                <w:noProof/>
                <w:sz w:val="22"/>
              </w:rPr>
              <w:t xml:space="preserve"> pričela z izvajanjem načrtovanih aktivnosti</w:t>
            </w:r>
            <w:r w:rsidR="001772E2" w:rsidRPr="0031208D">
              <w:rPr>
                <w:noProof/>
                <w:sz w:val="22"/>
              </w:rPr>
              <w:t xml:space="preserve"> s področja operativne podpore</w:t>
            </w:r>
            <w:r w:rsidR="00F37DD7" w:rsidRPr="0031208D">
              <w:rPr>
                <w:noProof/>
                <w:sz w:val="22"/>
              </w:rPr>
              <w:t xml:space="preserve">. </w:t>
            </w:r>
            <w:r w:rsidR="00876FAC" w:rsidRPr="0031208D">
              <w:rPr>
                <w:noProof/>
                <w:sz w:val="22"/>
              </w:rPr>
              <w:t xml:space="preserve">Gre za </w:t>
            </w:r>
            <w:r w:rsidR="000E64F3" w:rsidRPr="0031208D">
              <w:rPr>
                <w:noProof/>
                <w:sz w:val="22"/>
              </w:rPr>
              <w:t>aktivnosti operativne podpore</w:t>
            </w:r>
            <w:r w:rsidR="001772E2" w:rsidRPr="0031208D">
              <w:rPr>
                <w:noProof/>
                <w:sz w:val="22"/>
              </w:rPr>
              <w:t xml:space="preserve"> </w:t>
            </w:r>
            <w:r w:rsidR="00392A8C" w:rsidRPr="0031208D">
              <w:rPr>
                <w:noProof/>
                <w:sz w:val="22"/>
              </w:rPr>
              <w:t xml:space="preserve">izvajanju </w:t>
            </w:r>
            <w:r w:rsidR="001772E2" w:rsidRPr="0031208D">
              <w:rPr>
                <w:noProof/>
                <w:sz w:val="22"/>
              </w:rPr>
              <w:t>skupne vizumske politike</w:t>
            </w:r>
            <w:r w:rsidR="00F37DD7" w:rsidRPr="0031208D">
              <w:rPr>
                <w:noProof/>
                <w:sz w:val="22"/>
              </w:rPr>
              <w:t xml:space="preserve"> (specifični cilj 2)</w:t>
            </w:r>
            <w:r w:rsidR="001772E2" w:rsidRPr="0031208D">
              <w:rPr>
                <w:noProof/>
                <w:sz w:val="22"/>
              </w:rPr>
              <w:t xml:space="preserve">, </w:t>
            </w:r>
            <w:r w:rsidR="00BB5A02" w:rsidRPr="0031208D">
              <w:rPr>
                <w:noProof/>
                <w:sz w:val="22"/>
              </w:rPr>
              <w:t>ki se nanašajo na stroške</w:t>
            </w:r>
            <w:r w:rsidR="00876FAC" w:rsidRPr="0031208D">
              <w:rPr>
                <w:noProof/>
                <w:sz w:val="22"/>
              </w:rPr>
              <w:t xml:space="preserve"> dela zaposlenih v tujini</w:t>
            </w:r>
            <w:r w:rsidR="00BB5A02" w:rsidRPr="0031208D">
              <w:rPr>
                <w:noProof/>
                <w:sz w:val="22"/>
              </w:rPr>
              <w:t xml:space="preserve"> (</w:t>
            </w:r>
            <w:r w:rsidR="00392A8C" w:rsidRPr="0031208D">
              <w:rPr>
                <w:noProof/>
                <w:sz w:val="22"/>
              </w:rPr>
              <w:t>diplomatska predstavništva in konzulati</w:t>
            </w:r>
            <w:r w:rsidR="003A66D5">
              <w:rPr>
                <w:noProof/>
                <w:sz w:val="22"/>
              </w:rPr>
              <w:t xml:space="preserve"> Republike Slovenije</w:t>
            </w:r>
            <w:r w:rsidR="00BB5A02" w:rsidRPr="0031208D">
              <w:rPr>
                <w:noProof/>
                <w:sz w:val="22"/>
              </w:rPr>
              <w:t>)</w:t>
            </w:r>
            <w:r w:rsidR="00876FAC" w:rsidRPr="0031208D">
              <w:rPr>
                <w:noProof/>
                <w:sz w:val="22"/>
              </w:rPr>
              <w:t xml:space="preserve"> </w:t>
            </w:r>
            <w:r w:rsidR="00BB5A02" w:rsidRPr="0031208D">
              <w:rPr>
                <w:noProof/>
                <w:sz w:val="22"/>
              </w:rPr>
              <w:t xml:space="preserve">in </w:t>
            </w:r>
            <w:r w:rsidR="00392A8C" w:rsidRPr="0031208D">
              <w:rPr>
                <w:noProof/>
                <w:sz w:val="22"/>
              </w:rPr>
              <w:t xml:space="preserve">v </w:t>
            </w:r>
            <w:r w:rsidR="00BB5A02" w:rsidRPr="0031208D">
              <w:rPr>
                <w:noProof/>
                <w:sz w:val="22"/>
              </w:rPr>
              <w:t xml:space="preserve">Sloveniji, </w:t>
            </w:r>
            <w:r w:rsidR="000E64F3" w:rsidRPr="0031208D">
              <w:rPr>
                <w:noProof/>
                <w:sz w:val="22"/>
              </w:rPr>
              <w:t xml:space="preserve">ki </w:t>
            </w:r>
            <w:r w:rsidR="007900D3" w:rsidRPr="0031208D">
              <w:rPr>
                <w:noProof/>
                <w:sz w:val="22"/>
              </w:rPr>
              <w:t>prispeva</w:t>
            </w:r>
            <w:r w:rsidR="00392A8C" w:rsidRPr="0031208D">
              <w:rPr>
                <w:noProof/>
                <w:sz w:val="22"/>
              </w:rPr>
              <w:t>jo</w:t>
            </w:r>
            <w:r w:rsidRPr="0031208D">
              <w:rPr>
                <w:noProof/>
                <w:sz w:val="22"/>
              </w:rPr>
              <w:t xml:space="preserve"> k</w:t>
            </w:r>
            <w:r w:rsidR="001B0FD1" w:rsidRPr="0031208D">
              <w:rPr>
                <w:noProof/>
                <w:sz w:val="22"/>
              </w:rPr>
              <w:t xml:space="preserve"> doseganju ciljev programa IUMV </w:t>
            </w:r>
            <w:r w:rsidR="00BB5A02" w:rsidRPr="0031208D">
              <w:rPr>
                <w:noProof/>
                <w:sz w:val="22"/>
              </w:rPr>
              <w:t>na področju skupne vizumske politike.</w:t>
            </w:r>
            <w:r w:rsidR="00F37DD7" w:rsidRPr="0031208D">
              <w:rPr>
                <w:noProof/>
                <w:sz w:val="22"/>
              </w:rPr>
              <w:t xml:space="preserve"> </w:t>
            </w:r>
          </w:p>
          <w:p w14:paraId="78C213BC" w14:textId="01AD9470" w:rsidR="00AD502C" w:rsidRPr="0031208D" w:rsidRDefault="00F37DD7" w:rsidP="00F37DD7">
            <w:pPr>
              <w:rPr>
                <w:sz w:val="22"/>
              </w:rPr>
            </w:pPr>
            <w:r w:rsidRPr="0031208D">
              <w:rPr>
                <w:noProof/>
                <w:sz w:val="22"/>
              </w:rPr>
              <w:t>P</w:t>
            </w:r>
            <w:r w:rsidR="000E33A0" w:rsidRPr="0031208D">
              <w:rPr>
                <w:noProof/>
                <w:sz w:val="22"/>
              </w:rPr>
              <w:t>oleg</w:t>
            </w:r>
            <w:r w:rsidRPr="0031208D">
              <w:rPr>
                <w:noProof/>
                <w:sz w:val="22"/>
              </w:rPr>
              <w:t xml:space="preserve"> tega se izvajajo aktivnosti operativne podpore znotraj specifičnega cilja 1 za v</w:t>
            </w:r>
            <w:proofErr w:type="spellStart"/>
            <w:r w:rsidRPr="0031208D">
              <w:rPr>
                <w:sz w:val="22"/>
              </w:rPr>
              <w:t>zdrževanje</w:t>
            </w:r>
            <w:proofErr w:type="spellEnd"/>
            <w:r w:rsidRPr="0031208D">
              <w:rPr>
                <w:sz w:val="22"/>
              </w:rPr>
              <w:t xml:space="preserve"> SIS II komunikacijskega vmesnika (SIB) in stroški mejnih policistov, ki izvajajo mejno kontrolo na Postaji letališke policije Brnik in na Postaji pomorske policije Koper.</w:t>
            </w:r>
          </w:p>
          <w:p w14:paraId="487C0D48" w14:textId="22603A2C" w:rsidR="001B0FD1" w:rsidRPr="0031208D" w:rsidRDefault="001B0FD1" w:rsidP="001B0FD1">
            <w:pPr>
              <w:rPr>
                <w:noProof/>
                <w:sz w:val="22"/>
              </w:rPr>
            </w:pPr>
            <w:r w:rsidRPr="0031208D">
              <w:rPr>
                <w:noProof/>
                <w:sz w:val="22"/>
              </w:rPr>
              <w:t>V sklopu operativne podpore so načrtovane aktivnosti za delovanje in vzdrževanje obsežnih informacijskih sistemov, vključno z Evropskim sistemom za potovalne informacije in odobritve (ETIAS), vendar se v obračunskem o</w:t>
            </w:r>
            <w:r w:rsidR="000E33A0" w:rsidRPr="0031208D">
              <w:rPr>
                <w:noProof/>
                <w:sz w:val="22"/>
              </w:rPr>
              <w:t>bdobju še niso pričele izvajati, predvem zaradi zamud na strani centralnega projekt</w:t>
            </w:r>
            <w:r w:rsidR="00E42D77" w:rsidRPr="0031208D">
              <w:rPr>
                <w:noProof/>
                <w:sz w:val="22"/>
              </w:rPr>
              <w:t>a</w:t>
            </w:r>
            <w:r w:rsidR="000E33A0" w:rsidRPr="0031208D">
              <w:rPr>
                <w:noProof/>
                <w:sz w:val="22"/>
              </w:rPr>
              <w:t xml:space="preserve"> ETIAS (eu-LISA še ni vzpostavila testnega sistema, ki bi omogočil, da preverimo delovanje do zdaj razvite aplikacije s strani zunanjega izvajalca). Testiranje in razvoj je na nacionalni ravni v teku na podlagi prejete tehnične dokumentacije in predloženega simulat</w:t>
            </w:r>
            <w:r w:rsidR="00D03CD0">
              <w:rPr>
                <w:noProof/>
                <w:sz w:val="22"/>
              </w:rPr>
              <w:t>o</w:t>
            </w:r>
            <w:r w:rsidR="000E33A0" w:rsidRPr="0031208D">
              <w:rPr>
                <w:noProof/>
                <w:sz w:val="22"/>
              </w:rPr>
              <w:t>rja eu-LISA.</w:t>
            </w:r>
          </w:p>
          <w:p w14:paraId="22DE797D" w14:textId="054DCF4F" w:rsidR="00FE66F3" w:rsidRPr="0031208D" w:rsidRDefault="00FE66F3" w:rsidP="00FE66F3">
            <w:pPr>
              <w:rPr>
                <w:sz w:val="22"/>
              </w:rPr>
            </w:pPr>
            <w:r w:rsidRPr="0031208D">
              <w:rPr>
                <w:sz w:val="22"/>
              </w:rPr>
              <w:t>Glede na načrtovani program in operacije IUMV, potrjene v Akcijskem načrtu programa IUMV, OU ocenjuje, da skupni kumulativni upravičeni izdatki za operativno podporo ne bodo presegli 33</w:t>
            </w:r>
            <w:r w:rsidR="00E42D77" w:rsidRPr="0031208D">
              <w:rPr>
                <w:sz w:val="22"/>
              </w:rPr>
              <w:t> </w:t>
            </w:r>
            <w:r w:rsidRPr="0031208D">
              <w:rPr>
                <w:sz w:val="22"/>
              </w:rPr>
              <w:t>% skupnih sredstev, dodeljenih programu, skladno z veljavnimi določbami uredb in programskimi pravili.</w:t>
            </w:r>
          </w:p>
          <w:p w14:paraId="4BE78634" w14:textId="77777777" w:rsidR="00FE66F3" w:rsidRPr="0031208D" w:rsidRDefault="00FE66F3" w:rsidP="00FE66F3">
            <w:pPr>
              <w:rPr>
                <w:sz w:val="22"/>
              </w:rPr>
            </w:pPr>
            <w:r w:rsidRPr="0031208D">
              <w:rPr>
                <w:sz w:val="22"/>
              </w:rPr>
              <w:t>OU zagotavlja redno spremljanje izvajanja programa ter analizo črpanja sredstev po posameznih ukrepih, kar vključuje tudi operativno podporo, z namenom pravočasnega zaznavanja morebitnih odstopanj od načrtovanih vrednosti ter ustreznega ukrepanja. Pri tem je treba izpostaviti, da je v trenutni fazi izvajanja programa realizacija izdatkov višja pri operativni podpori, kar se odraža v začasno višjem deležu teh izdatkov v primerjavi z ostalimi ukrepi. To je predvsem posledica sprememb v upravičenosti po vključitvi Hrvaške v schengensko območje, zaradi česar so posamezne vsebine postale neupravičene, obenem pa je uskladitev programa z novim stanjem zahtevala dodatni čas.</w:t>
            </w:r>
          </w:p>
          <w:p w14:paraId="5A1651E8" w14:textId="04F05D98" w:rsidR="001B0FD1" w:rsidRPr="0031208D" w:rsidRDefault="00FE66F3" w:rsidP="00392A8C">
            <w:pPr>
              <w:rPr>
                <w:sz w:val="22"/>
              </w:rPr>
            </w:pPr>
            <w:r w:rsidRPr="0031208D">
              <w:rPr>
                <w:sz w:val="22"/>
              </w:rPr>
              <w:t>Po sprejetju nove različice programa in ob upoštevanju dejanskih potreb upravičencev ter realnih možnosti za koriščenje sredstev OU pričakuje postopno uravnoteženje strukture izdatkov, pri čemer se predvideva povečanje deleža porabe tudi na drugih ukrepih. V okviru sistema upravljanja in nadzora bodo po potrebi uporabljeni ustrezni korektivni in usmerjevalni ukrepi za zagotavljanje skladnosti izvajanja s programskimi cilji ter za ohranjanje deleža operativne podpore znotraj predpisanih omejitev do zaključka programskega obdobja.</w:t>
            </w:r>
          </w:p>
        </w:tc>
      </w:tr>
    </w:tbl>
    <w:p w14:paraId="30979C46" w14:textId="77777777" w:rsidR="00AD502C" w:rsidRPr="0031208D" w:rsidRDefault="001C1609" w:rsidP="001C1609">
      <w:pPr>
        <w:pStyle w:val="ManualHeading2"/>
        <w:rPr>
          <w:noProof/>
          <w:sz w:val="22"/>
        </w:rPr>
      </w:pPr>
      <w:r w:rsidRPr="0031208D">
        <w:rPr>
          <w:sz w:val="22"/>
        </w:rPr>
        <w:t>1.5.</w:t>
      </w:r>
      <w:r w:rsidRPr="0031208D">
        <w:rPr>
          <w:sz w:val="22"/>
        </w:rPr>
        <w:tab/>
      </w:r>
      <w:r w:rsidR="00AD502C" w:rsidRPr="0031208D">
        <w:rPr>
          <w:noProof/>
          <w:sz w:val="22"/>
        </w:rPr>
        <w:t>Posebni ukrepi</w:t>
      </w:r>
      <w:r w:rsidR="00AD502C" w:rsidRPr="0031208D">
        <w:rPr>
          <w:rStyle w:val="Sprotnaopomba-sklic"/>
          <w:noProof/>
          <w:sz w:val="22"/>
        </w:rPr>
        <w:footnoteReference w:id="8"/>
      </w:r>
      <w:r w:rsidR="00AD502C" w:rsidRPr="0031208D">
        <w:rPr>
          <w:noProof/>
          <w:sz w:val="22"/>
        </w:rPr>
        <w:t xml:space="preserve"> </w:t>
      </w:r>
    </w:p>
    <w:p w14:paraId="4352E692" w14:textId="77777777" w:rsidR="00AD502C" w:rsidRPr="0031208D" w:rsidRDefault="00BC5F3E" w:rsidP="00AD502C">
      <w:pPr>
        <w:rPr>
          <w:noProof/>
          <w:sz w:val="22"/>
        </w:rPr>
      </w:pPr>
      <w:r w:rsidRPr="0031208D">
        <w:rPr>
          <w:noProof/>
          <w:sz w:val="22"/>
        </w:rPr>
        <w:t>Opišite glavne dosežke vseh posebnih ukrepov, izvedenih med obračunskim letom, ter kako so ti ukrepi prispevali k doseganju ciljev programa in ustvarjanju dodane vrednosti Unije</w:t>
      </w:r>
      <w:r w:rsidRPr="0031208D">
        <w:rPr>
          <w:rStyle w:val="Sprotnaopomba-sklic"/>
          <w:noProof/>
          <w:sz w:val="22"/>
        </w:rPr>
        <w:footnoteReference w:id="9"/>
      </w:r>
      <w:r w:rsidRPr="0031208D">
        <w:rPr>
          <w:noProof/>
          <w:sz w:val="22"/>
        </w:rPr>
        <w:t xml:space="preserve">. </w:t>
      </w:r>
    </w:p>
    <w:p w14:paraId="5E645145" w14:textId="77777777" w:rsidR="00E45982" w:rsidRPr="0031208D" w:rsidRDefault="00BC5F3E" w:rsidP="00AD502C">
      <w:pPr>
        <w:rPr>
          <w:noProof/>
          <w:sz w:val="22"/>
        </w:rPr>
      </w:pPr>
      <w:r w:rsidRPr="0031208D">
        <w:rPr>
          <w:noProof/>
          <w:sz w:val="22"/>
        </w:rPr>
        <w:t>Opišite, kako so posamezni ukrepi napredovali, tako postopkovno</w:t>
      </w:r>
      <w:r w:rsidRPr="0031208D">
        <w:rPr>
          <w:rStyle w:val="Sprotnaopomba-sklic"/>
          <w:noProof/>
          <w:sz w:val="22"/>
        </w:rPr>
        <w:footnoteReference w:id="10"/>
      </w:r>
      <w:r w:rsidRPr="0031208D">
        <w:rPr>
          <w:noProof/>
          <w:sz w:val="22"/>
        </w:rPr>
        <w:t xml:space="preserve"> kot operativno</w:t>
      </w:r>
      <w:r w:rsidRPr="0031208D">
        <w:rPr>
          <w:rStyle w:val="Sprotnaopomba-sklic"/>
          <w:noProof/>
          <w:sz w:val="22"/>
        </w:rPr>
        <w:footnoteReference w:id="11"/>
      </w:r>
      <w:r w:rsidRPr="0031208D">
        <w:rPr>
          <w:noProof/>
          <w:sz w:val="22"/>
        </w:rPr>
        <w:t xml:space="preserve">, in izpostavite morebitna vprašanja, ki vplivajo na njihovo uspešnost, zlasti morebitno tveganje premajhne porabe. </w:t>
      </w:r>
    </w:p>
    <w:p w14:paraId="498EA2ED" w14:textId="77777777" w:rsidR="00AD502C" w:rsidRPr="0031208D" w:rsidRDefault="00AD502C" w:rsidP="00AD502C">
      <w:pPr>
        <w:rPr>
          <w:noProof/>
          <w:sz w:val="22"/>
        </w:rPr>
      </w:pPr>
      <w:r w:rsidRPr="0031208D">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31208D" w:rsidRPr="0031208D" w14:paraId="15E886B5" w14:textId="77777777" w:rsidTr="00E45665">
        <w:tc>
          <w:tcPr>
            <w:tcW w:w="9289" w:type="dxa"/>
          </w:tcPr>
          <w:p w14:paraId="000D364B" w14:textId="77777777" w:rsidR="00AD502C" w:rsidRPr="0031208D" w:rsidRDefault="008C62C8" w:rsidP="00EA113A">
            <w:pPr>
              <w:pStyle w:val="Personnequisigne"/>
              <w:jc w:val="both"/>
              <w:rPr>
                <w:noProof/>
                <w:sz w:val="22"/>
              </w:rPr>
            </w:pPr>
            <w:r w:rsidRPr="0031208D">
              <w:rPr>
                <w:i w:val="0"/>
                <w:noProof/>
                <w:sz w:val="22"/>
              </w:rPr>
              <w:lastRenderedPageBreak/>
              <w:t>Slovenija v obračunskem obdobju poročanja v program IUMV ni vključila posebnih ukrepov.</w:t>
            </w:r>
          </w:p>
        </w:tc>
      </w:tr>
    </w:tbl>
    <w:p w14:paraId="14848EB9" w14:textId="77777777" w:rsidR="00AD502C" w:rsidRPr="0031208D" w:rsidRDefault="0049684A" w:rsidP="002D571C">
      <w:pPr>
        <w:rPr>
          <w:noProof/>
          <w:sz w:val="22"/>
        </w:rPr>
      </w:pPr>
      <w:r w:rsidRPr="0031208D">
        <w:rPr>
          <w:noProof/>
          <w:sz w:val="22"/>
        </w:rPr>
        <w:t>V spodnjo preglednico vpišite podrobnosti o vseh posebnih nacionalnih ukrepih, ki se izvajajo v okviru programa. Poročanje o posebnih nadnacionalnih ukrepih bi moralo biti skladno z izbrano možnostjo poročanja</w:t>
      </w:r>
      <w:r w:rsidRPr="0031208D">
        <w:rPr>
          <w:rStyle w:val="Sprotnaopomba-sklic"/>
          <w:noProof/>
          <w:sz w:val="22"/>
        </w:rPr>
        <w:footnoteReference w:id="12"/>
      </w:r>
      <w:r w:rsidRPr="0031208D">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992"/>
        <w:gridCol w:w="1134"/>
        <w:gridCol w:w="992"/>
        <w:gridCol w:w="993"/>
        <w:gridCol w:w="1134"/>
        <w:gridCol w:w="1417"/>
        <w:gridCol w:w="1701"/>
      </w:tblGrid>
      <w:tr w:rsidR="0031208D" w:rsidRPr="0031208D" w14:paraId="540DB0A6" w14:textId="77777777" w:rsidTr="008F5019">
        <w:trPr>
          <w:trHeight w:val="431"/>
        </w:trPr>
        <w:tc>
          <w:tcPr>
            <w:tcW w:w="879" w:type="dxa"/>
            <w:vMerge w:val="restart"/>
            <w:vAlign w:val="center"/>
          </w:tcPr>
          <w:p w14:paraId="3C63FC7C" w14:textId="77777777" w:rsidR="00AD502C" w:rsidRPr="0031208D" w:rsidRDefault="00AD502C" w:rsidP="00AD502C">
            <w:pPr>
              <w:rPr>
                <w:noProof/>
                <w:sz w:val="22"/>
              </w:rPr>
            </w:pPr>
            <w:r w:rsidRPr="0031208D">
              <w:rPr>
                <w:noProof/>
                <w:sz w:val="22"/>
              </w:rPr>
              <w:t>Specifični cilj</w:t>
            </w:r>
          </w:p>
        </w:tc>
        <w:tc>
          <w:tcPr>
            <w:tcW w:w="992" w:type="dxa"/>
            <w:vMerge w:val="restart"/>
            <w:vAlign w:val="center"/>
          </w:tcPr>
          <w:p w14:paraId="62D9E7F2" w14:textId="77777777" w:rsidR="00AD502C" w:rsidRPr="0031208D" w:rsidRDefault="00AD502C" w:rsidP="00AD502C">
            <w:pPr>
              <w:rPr>
                <w:noProof/>
                <w:sz w:val="22"/>
              </w:rPr>
            </w:pPr>
            <w:r w:rsidRPr="0031208D">
              <w:rPr>
                <w:noProof/>
                <w:sz w:val="22"/>
              </w:rPr>
              <w:t>Ime</w:t>
            </w:r>
            <w:r w:rsidR="00F4010A" w:rsidRPr="0031208D">
              <w:rPr>
                <w:noProof/>
                <w:sz w:val="22"/>
              </w:rPr>
              <w:t> </w:t>
            </w:r>
            <w:r w:rsidRPr="0031208D">
              <w:rPr>
                <w:noProof/>
                <w:sz w:val="22"/>
              </w:rPr>
              <w:t>/</w:t>
            </w:r>
            <w:r w:rsidR="00F4010A" w:rsidRPr="0031208D">
              <w:rPr>
                <w:noProof/>
                <w:sz w:val="22"/>
              </w:rPr>
              <w:t xml:space="preserve"> </w:t>
            </w:r>
            <w:r w:rsidRPr="0031208D">
              <w:rPr>
                <w:noProof/>
                <w:sz w:val="22"/>
              </w:rPr>
              <w:t>referenčna številka ukrepa</w:t>
            </w:r>
          </w:p>
        </w:tc>
        <w:tc>
          <w:tcPr>
            <w:tcW w:w="1134" w:type="dxa"/>
            <w:vMerge w:val="restart"/>
            <w:vAlign w:val="center"/>
          </w:tcPr>
          <w:p w14:paraId="5CA420CE" w14:textId="77777777" w:rsidR="00AD502C" w:rsidRPr="0031208D" w:rsidRDefault="00AD502C" w:rsidP="00AD502C">
            <w:pPr>
              <w:rPr>
                <w:noProof/>
                <w:sz w:val="22"/>
              </w:rPr>
            </w:pPr>
            <w:r w:rsidRPr="0031208D">
              <w:rPr>
                <w:noProof/>
                <w:sz w:val="22"/>
              </w:rPr>
              <w:t>Upravičenec</w:t>
            </w:r>
          </w:p>
        </w:tc>
        <w:tc>
          <w:tcPr>
            <w:tcW w:w="992" w:type="dxa"/>
            <w:vMerge w:val="restart"/>
            <w:vAlign w:val="center"/>
          </w:tcPr>
          <w:p w14:paraId="1F8B5C46" w14:textId="77777777" w:rsidR="00AD502C" w:rsidRPr="0031208D" w:rsidRDefault="00AD502C" w:rsidP="00AD502C">
            <w:pPr>
              <w:rPr>
                <w:noProof/>
                <w:sz w:val="22"/>
              </w:rPr>
            </w:pPr>
            <w:r w:rsidRPr="0031208D">
              <w:rPr>
                <w:noProof/>
                <w:sz w:val="22"/>
              </w:rPr>
              <w:t>Obdobje izvajanja</w:t>
            </w:r>
          </w:p>
        </w:tc>
        <w:tc>
          <w:tcPr>
            <w:tcW w:w="993" w:type="dxa"/>
            <w:vMerge w:val="restart"/>
            <w:vAlign w:val="center"/>
          </w:tcPr>
          <w:p w14:paraId="405FB050" w14:textId="77777777" w:rsidR="00AD502C" w:rsidRPr="0031208D" w:rsidRDefault="00AD502C" w:rsidP="009F716C">
            <w:pPr>
              <w:rPr>
                <w:noProof/>
                <w:sz w:val="22"/>
              </w:rPr>
            </w:pPr>
            <w:r w:rsidRPr="0031208D">
              <w:rPr>
                <w:noProof/>
                <w:sz w:val="22"/>
              </w:rPr>
              <w:t>Upravičeni stroški</w:t>
            </w:r>
            <w:r w:rsidRPr="0031208D">
              <w:rPr>
                <w:rStyle w:val="Sprotnaopomba-sklic"/>
                <w:noProof/>
                <w:sz w:val="22"/>
              </w:rPr>
              <w:footnoteReference w:id="13"/>
            </w:r>
          </w:p>
        </w:tc>
        <w:tc>
          <w:tcPr>
            <w:tcW w:w="1134" w:type="dxa"/>
            <w:vMerge w:val="restart"/>
            <w:vAlign w:val="center"/>
          </w:tcPr>
          <w:p w14:paraId="31FBC075" w14:textId="77777777" w:rsidR="00AD502C" w:rsidRPr="0031208D" w:rsidRDefault="00AD502C" w:rsidP="009F716C">
            <w:pPr>
              <w:rPr>
                <w:noProof/>
                <w:sz w:val="22"/>
              </w:rPr>
            </w:pPr>
            <w:r w:rsidRPr="0031208D">
              <w:rPr>
                <w:noProof/>
                <w:sz w:val="22"/>
              </w:rPr>
              <w:t>Upravičeni izdatki</w:t>
            </w:r>
            <w:r w:rsidRPr="0031208D">
              <w:rPr>
                <w:rStyle w:val="Sprotnaopomba-sklic"/>
                <w:noProof/>
                <w:sz w:val="22"/>
              </w:rPr>
              <w:footnoteReference w:id="14"/>
            </w:r>
          </w:p>
        </w:tc>
        <w:tc>
          <w:tcPr>
            <w:tcW w:w="3118" w:type="dxa"/>
            <w:gridSpan w:val="2"/>
            <w:vAlign w:val="center"/>
          </w:tcPr>
          <w:p w14:paraId="221328B7" w14:textId="77777777" w:rsidR="00AD502C" w:rsidRPr="0031208D" w:rsidRDefault="00AD502C" w:rsidP="009F716C">
            <w:pPr>
              <w:rPr>
                <w:noProof/>
                <w:sz w:val="22"/>
              </w:rPr>
            </w:pPr>
            <w:r w:rsidRPr="0031208D">
              <w:rPr>
                <w:noProof/>
                <w:sz w:val="22"/>
              </w:rPr>
              <w:t>Napredek pri ustreznih skupnih kazalnikih in/ali kazalnikih za posamezne programe</w:t>
            </w:r>
            <w:r w:rsidRPr="0031208D">
              <w:rPr>
                <w:rStyle w:val="Sprotnaopomba-sklic"/>
                <w:noProof/>
                <w:sz w:val="22"/>
              </w:rPr>
              <w:footnoteReference w:id="15"/>
            </w:r>
          </w:p>
        </w:tc>
      </w:tr>
      <w:tr w:rsidR="0031208D" w:rsidRPr="0031208D" w14:paraId="50627674" w14:textId="77777777" w:rsidTr="00C401C7">
        <w:tc>
          <w:tcPr>
            <w:tcW w:w="879" w:type="dxa"/>
            <w:vMerge/>
            <w:vAlign w:val="center"/>
          </w:tcPr>
          <w:p w14:paraId="2C3EA4AD" w14:textId="77777777" w:rsidR="00AD502C" w:rsidRPr="0031208D" w:rsidRDefault="00AD502C" w:rsidP="00AD502C">
            <w:pPr>
              <w:rPr>
                <w:noProof/>
                <w:sz w:val="22"/>
              </w:rPr>
            </w:pPr>
          </w:p>
        </w:tc>
        <w:tc>
          <w:tcPr>
            <w:tcW w:w="992" w:type="dxa"/>
            <w:vMerge/>
            <w:vAlign w:val="center"/>
          </w:tcPr>
          <w:p w14:paraId="7A40488D" w14:textId="77777777" w:rsidR="00AD502C" w:rsidRPr="0031208D" w:rsidRDefault="00AD502C" w:rsidP="00AD502C">
            <w:pPr>
              <w:rPr>
                <w:noProof/>
                <w:sz w:val="22"/>
              </w:rPr>
            </w:pPr>
          </w:p>
        </w:tc>
        <w:tc>
          <w:tcPr>
            <w:tcW w:w="1134" w:type="dxa"/>
            <w:vMerge/>
            <w:vAlign w:val="center"/>
          </w:tcPr>
          <w:p w14:paraId="0F2C42E9" w14:textId="77777777" w:rsidR="00AD502C" w:rsidRPr="0031208D" w:rsidRDefault="00AD502C" w:rsidP="00AD502C">
            <w:pPr>
              <w:rPr>
                <w:noProof/>
                <w:sz w:val="22"/>
              </w:rPr>
            </w:pPr>
          </w:p>
        </w:tc>
        <w:tc>
          <w:tcPr>
            <w:tcW w:w="992" w:type="dxa"/>
            <w:vMerge/>
            <w:vAlign w:val="center"/>
          </w:tcPr>
          <w:p w14:paraId="300F9786" w14:textId="77777777" w:rsidR="00AD502C" w:rsidRPr="0031208D" w:rsidRDefault="00AD502C" w:rsidP="00AD502C">
            <w:pPr>
              <w:rPr>
                <w:noProof/>
                <w:sz w:val="22"/>
              </w:rPr>
            </w:pPr>
          </w:p>
        </w:tc>
        <w:tc>
          <w:tcPr>
            <w:tcW w:w="993" w:type="dxa"/>
            <w:vMerge/>
            <w:vAlign w:val="center"/>
          </w:tcPr>
          <w:p w14:paraId="6134AFF7" w14:textId="77777777" w:rsidR="00AD502C" w:rsidRPr="0031208D" w:rsidRDefault="00AD502C" w:rsidP="00AD502C">
            <w:pPr>
              <w:rPr>
                <w:noProof/>
                <w:sz w:val="22"/>
              </w:rPr>
            </w:pPr>
          </w:p>
        </w:tc>
        <w:tc>
          <w:tcPr>
            <w:tcW w:w="1134" w:type="dxa"/>
            <w:vMerge/>
            <w:vAlign w:val="center"/>
          </w:tcPr>
          <w:p w14:paraId="3D4F9117" w14:textId="77777777" w:rsidR="00AD502C" w:rsidRPr="0031208D" w:rsidRDefault="00AD502C" w:rsidP="00AD502C">
            <w:pPr>
              <w:rPr>
                <w:noProof/>
                <w:sz w:val="22"/>
              </w:rPr>
            </w:pPr>
          </w:p>
        </w:tc>
        <w:tc>
          <w:tcPr>
            <w:tcW w:w="1417" w:type="dxa"/>
            <w:vAlign w:val="center"/>
          </w:tcPr>
          <w:p w14:paraId="307DEA96" w14:textId="77777777" w:rsidR="00AD502C" w:rsidRPr="0031208D" w:rsidRDefault="00AD502C" w:rsidP="00AD502C">
            <w:pPr>
              <w:rPr>
                <w:noProof/>
                <w:sz w:val="22"/>
              </w:rPr>
            </w:pPr>
            <w:r w:rsidRPr="0031208D">
              <w:rPr>
                <w:noProof/>
                <w:sz w:val="22"/>
              </w:rPr>
              <w:t>kazalniki učinka</w:t>
            </w:r>
          </w:p>
        </w:tc>
        <w:tc>
          <w:tcPr>
            <w:tcW w:w="1701" w:type="dxa"/>
            <w:vAlign w:val="center"/>
          </w:tcPr>
          <w:p w14:paraId="699D3E0D" w14:textId="77777777" w:rsidR="00AD502C" w:rsidRPr="0031208D" w:rsidRDefault="00AD502C" w:rsidP="00AD502C">
            <w:pPr>
              <w:rPr>
                <w:noProof/>
                <w:sz w:val="22"/>
              </w:rPr>
            </w:pPr>
            <w:r w:rsidRPr="0031208D">
              <w:rPr>
                <w:noProof/>
                <w:sz w:val="22"/>
              </w:rPr>
              <w:t>kazalniki rezultatov</w:t>
            </w:r>
          </w:p>
        </w:tc>
      </w:tr>
      <w:tr w:rsidR="0031208D" w:rsidRPr="0031208D" w14:paraId="6F99BCB5" w14:textId="77777777" w:rsidTr="00C401C7">
        <w:tc>
          <w:tcPr>
            <w:tcW w:w="879" w:type="dxa"/>
            <w:vAlign w:val="center"/>
          </w:tcPr>
          <w:p w14:paraId="6C671209" w14:textId="77777777" w:rsidR="00AD502C" w:rsidRPr="0031208D" w:rsidRDefault="00C22D54" w:rsidP="00E45665">
            <w:pPr>
              <w:pStyle w:val="Institutionquisigne"/>
              <w:spacing w:before="0"/>
              <w:jc w:val="center"/>
              <w:rPr>
                <w:i w:val="0"/>
                <w:noProof/>
                <w:sz w:val="22"/>
              </w:rPr>
            </w:pPr>
            <w:r w:rsidRPr="0031208D">
              <w:rPr>
                <w:i w:val="0"/>
                <w:noProof/>
                <w:sz w:val="22"/>
              </w:rPr>
              <w:t>/</w:t>
            </w:r>
          </w:p>
        </w:tc>
        <w:tc>
          <w:tcPr>
            <w:tcW w:w="992" w:type="dxa"/>
            <w:vAlign w:val="center"/>
          </w:tcPr>
          <w:p w14:paraId="492BD190" w14:textId="77777777" w:rsidR="00AD502C" w:rsidRPr="0031208D" w:rsidRDefault="00C22D54" w:rsidP="00E45665">
            <w:pPr>
              <w:pStyle w:val="Institutionquisigne"/>
              <w:spacing w:before="0"/>
              <w:jc w:val="center"/>
              <w:rPr>
                <w:noProof/>
                <w:sz w:val="22"/>
              </w:rPr>
            </w:pPr>
            <w:r w:rsidRPr="0031208D">
              <w:rPr>
                <w:noProof/>
                <w:sz w:val="22"/>
              </w:rPr>
              <w:t>/</w:t>
            </w:r>
          </w:p>
        </w:tc>
        <w:tc>
          <w:tcPr>
            <w:tcW w:w="1134" w:type="dxa"/>
          </w:tcPr>
          <w:p w14:paraId="3113698A" w14:textId="77777777" w:rsidR="00AD502C" w:rsidRPr="0031208D" w:rsidRDefault="00C22D54" w:rsidP="00E45665">
            <w:pPr>
              <w:pStyle w:val="Institutionquisigne"/>
              <w:spacing w:before="0"/>
              <w:jc w:val="center"/>
              <w:rPr>
                <w:noProof/>
                <w:sz w:val="22"/>
              </w:rPr>
            </w:pPr>
            <w:r w:rsidRPr="0031208D">
              <w:rPr>
                <w:noProof/>
                <w:sz w:val="22"/>
              </w:rPr>
              <w:t>/</w:t>
            </w:r>
          </w:p>
        </w:tc>
        <w:tc>
          <w:tcPr>
            <w:tcW w:w="992" w:type="dxa"/>
          </w:tcPr>
          <w:p w14:paraId="50C4A002" w14:textId="77777777" w:rsidR="00AD502C" w:rsidRPr="0031208D" w:rsidRDefault="00C22D54" w:rsidP="00E45665">
            <w:pPr>
              <w:pStyle w:val="Institutionquisigne"/>
              <w:spacing w:before="0"/>
              <w:jc w:val="center"/>
              <w:rPr>
                <w:noProof/>
                <w:sz w:val="22"/>
              </w:rPr>
            </w:pPr>
            <w:r w:rsidRPr="0031208D">
              <w:rPr>
                <w:noProof/>
                <w:sz w:val="22"/>
              </w:rPr>
              <w:t>/</w:t>
            </w:r>
          </w:p>
        </w:tc>
        <w:tc>
          <w:tcPr>
            <w:tcW w:w="993" w:type="dxa"/>
          </w:tcPr>
          <w:p w14:paraId="223B5481" w14:textId="77777777" w:rsidR="00AD502C" w:rsidRPr="0031208D" w:rsidRDefault="00C22D54" w:rsidP="00E45665">
            <w:pPr>
              <w:pStyle w:val="Institutionquisigne"/>
              <w:spacing w:before="0"/>
              <w:jc w:val="center"/>
              <w:rPr>
                <w:noProof/>
                <w:sz w:val="22"/>
              </w:rPr>
            </w:pPr>
            <w:r w:rsidRPr="0031208D">
              <w:rPr>
                <w:noProof/>
                <w:sz w:val="22"/>
              </w:rPr>
              <w:t>/</w:t>
            </w:r>
          </w:p>
        </w:tc>
        <w:tc>
          <w:tcPr>
            <w:tcW w:w="1134" w:type="dxa"/>
          </w:tcPr>
          <w:p w14:paraId="5925A24B" w14:textId="77777777" w:rsidR="00AD502C" w:rsidRPr="0031208D" w:rsidRDefault="00C22D54" w:rsidP="00E45665">
            <w:pPr>
              <w:pStyle w:val="Institutionquisigne"/>
              <w:spacing w:before="0"/>
              <w:jc w:val="center"/>
              <w:rPr>
                <w:noProof/>
                <w:sz w:val="22"/>
              </w:rPr>
            </w:pPr>
            <w:r w:rsidRPr="0031208D">
              <w:rPr>
                <w:noProof/>
                <w:sz w:val="22"/>
              </w:rPr>
              <w:t>/</w:t>
            </w:r>
          </w:p>
        </w:tc>
        <w:tc>
          <w:tcPr>
            <w:tcW w:w="1417" w:type="dxa"/>
          </w:tcPr>
          <w:p w14:paraId="13CFF163" w14:textId="77777777" w:rsidR="00AD502C" w:rsidRPr="0031208D" w:rsidRDefault="00C22D54" w:rsidP="00E45665">
            <w:pPr>
              <w:pStyle w:val="Institutionquisigne"/>
              <w:spacing w:before="0"/>
              <w:jc w:val="center"/>
              <w:rPr>
                <w:i w:val="0"/>
                <w:noProof/>
                <w:sz w:val="22"/>
              </w:rPr>
            </w:pPr>
            <w:r w:rsidRPr="0031208D">
              <w:rPr>
                <w:i w:val="0"/>
                <w:noProof/>
                <w:sz w:val="22"/>
              </w:rPr>
              <w:t>/</w:t>
            </w:r>
          </w:p>
        </w:tc>
        <w:tc>
          <w:tcPr>
            <w:tcW w:w="1701" w:type="dxa"/>
          </w:tcPr>
          <w:p w14:paraId="2B6C2A26" w14:textId="77777777" w:rsidR="00AD502C" w:rsidRPr="0031208D" w:rsidRDefault="00C22D54" w:rsidP="00E45665">
            <w:pPr>
              <w:pStyle w:val="Institutionquisigne"/>
              <w:spacing w:before="0"/>
              <w:jc w:val="center"/>
              <w:rPr>
                <w:i w:val="0"/>
                <w:noProof/>
                <w:sz w:val="22"/>
              </w:rPr>
            </w:pPr>
            <w:r w:rsidRPr="0031208D">
              <w:rPr>
                <w:i w:val="0"/>
                <w:noProof/>
                <w:sz w:val="22"/>
              </w:rPr>
              <w:t>/</w:t>
            </w:r>
          </w:p>
        </w:tc>
      </w:tr>
    </w:tbl>
    <w:p w14:paraId="77E961D6" w14:textId="77777777" w:rsidR="00AD502C" w:rsidRPr="0031208D" w:rsidRDefault="001C1609" w:rsidP="001C1609">
      <w:pPr>
        <w:pStyle w:val="ManualHeading2"/>
        <w:rPr>
          <w:noProof/>
          <w:sz w:val="22"/>
        </w:rPr>
      </w:pPr>
      <w:r w:rsidRPr="0031208D">
        <w:rPr>
          <w:sz w:val="22"/>
        </w:rPr>
        <w:t>1.6.</w:t>
      </w:r>
      <w:r w:rsidRPr="0031208D">
        <w:rPr>
          <w:sz w:val="22"/>
        </w:rPr>
        <w:tab/>
      </w:r>
      <w:r w:rsidR="00AD502C" w:rsidRPr="0031208D">
        <w:rPr>
          <w:noProof/>
          <w:sz w:val="22"/>
        </w:rPr>
        <w:t>ETIAS – člen 29(2), točka (g), Uredbe (EU) 2021/1148</w:t>
      </w:r>
    </w:p>
    <w:p w14:paraId="4F5B5922" w14:textId="77777777" w:rsidR="00AD502C" w:rsidRPr="0031208D" w:rsidRDefault="0053671E" w:rsidP="00AD502C">
      <w:pPr>
        <w:rPr>
          <w:noProof/>
          <w:sz w:val="22"/>
        </w:rPr>
      </w:pPr>
      <w:r w:rsidRPr="0031208D">
        <w:rPr>
          <w:noProof/>
          <w:sz w:val="22"/>
        </w:rPr>
        <w:t>V razdelkih v spodnji preglednici zagotovite informacije o izdatkih v skladu s členom 85(2) in (3) Uredbe (EU) 2018/1240 Evropskega parlamenta in Sveta</w:t>
      </w:r>
      <w:r w:rsidRPr="0031208D">
        <w:rPr>
          <w:rStyle w:val="Sprotnaopomba-sklic"/>
          <w:noProof/>
          <w:sz w:val="22"/>
        </w:rPr>
        <w:footnoteReference w:id="16"/>
      </w:r>
      <w:r w:rsidRPr="0031208D">
        <w:rPr>
          <w:noProof/>
          <w:sz w:val="22"/>
        </w:rPr>
        <w:t xml:space="preserve">, vključenih v obračune v skladu s členom 98 Uredbe (EU) 2021/1060. </w:t>
      </w:r>
    </w:p>
    <w:tbl>
      <w:tblPr>
        <w:tblStyle w:val="Tabelasvetlamrea"/>
        <w:tblW w:w="0" w:type="auto"/>
        <w:tblLook w:val="04A0" w:firstRow="1" w:lastRow="0" w:firstColumn="1" w:lastColumn="0" w:noHBand="0" w:noVBand="1"/>
      </w:tblPr>
      <w:tblGrid>
        <w:gridCol w:w="3681"/>
        <w:gridCol w:w="5382"/>
      </w:tblGrid>
      <w:tr w:rsidR="0031208D" w:rsidRPr="0031208D" w14:paraId="50E9DBF1" w14:textId="77777777" w:rsidTr="008C62C8">
        <w:tc>
          <w:tcPr>
            <w:tcW w:w="3681" w:type="dxa"/>
          </w:tcPr>
          <w:p w14:paraId="7E775A12" w14:textId="77777777" w:rsidR="00AD502C" w:rsidRPr="0031208D" w:rsidRDefault="00AD502C" w:rsidP="00AD502C">
            <w:pPr>
              <w:spacing w:before="0" w:after="0"/>
              <w:rPr>
                <w:noProof/>
                <w:sz w:val="22"/>
              </w:rPr>
            </w:pPr>
            <w:r w:rsidRPr="0031208D">
              <w:rPr>
                <w:noProof/>
                <w:sz w:val="22"/>
              </w:rPr>
              <w:t>Vrsta stroškov</w:t>
            </w:r>
          </w:p>
        </w:tc>
        <w:tc>
          <w:tcPr>
            <w:tcW w:w="5382" w:type="dxa"/>
          </w:tcPr>
          <w:p w14:paraId="43C753E2" w14:textId="77777777" w:rsidR="00AD502C" w:rsidRPr="0031208D" w:rsidRDefault="00AD502C" w:rsidP="00AD502C">
            <w:pPr>
              <w:spacing w:before="0" w:after="0"/>
              <w:rPr>
                <w:noProof/>
                <w:sz w:val="22"/>
              </w:rPr>
            </w:pPr>
            <w:r w:rsidRPr="0031208D">
              <w:rPr>
                <w:noProof/>
                <w:sz w:val="22"/>
              </w:rPr>
              <w:t>Izdatki v obračunskem letu</w:t>
            </w:r>
          </w:p>
        </w:tc>
      </w:tr>
      <w:tr w:rsidR="0031208D" w:rsidRPr="0031208D" w14:paraId="29A15633" w14:textId="77777777" w:rsidTr="008C62C8">
        <w:tc>
          <w:tcPr>
            <w:tcW w:w="3681" w:type="dxa"/>
          </w:tcPr>
          <w:p w14:paraId="36A79A66" w14:textId="77777777" w:rsidR="00AD502C" w:rsidRPr="0031208D" w:rsidRDefault="00E45982" w:rsidP="00AD502C">
            <w:pPr>
              <w:spacing w:before="0" w:after="0"/>
              <w:rPr>
                <w:noProof/>
                <w:sz w:val="22"/>
              </w:rPr>
            </w:pPr>
            <w:r w:rsidRPr="0031208D">
              <w:rPr>
                <w:noProof/>
                <w:sz w:val="22"/>
              </w:rPr>
              <w:t>Obsežni informacijski sistemi – Evropski sistem za potovalne informacije in odobritve (ETIAS) – člen 85(2) Uredbe (EU) 2018/1240</w:t>
            </w:r>
          </w:p>
        </w:tc>
        <w:tc>
          <w:tcPr>
            <w:tcW w:w="5382" w:type="dxa"/>
          </w:tcPr>
          <w:p w14:paraId="56DAF978" w14:textId="7C299B9D" w:rsidR="00AD502C" w:rsidRPr="0031208D" w:rsidRDefault="0040327C" w:rsidP="00AD502C">
            <w:pPr>
              <w:spacing w:before="0" w:after="0"/>
              <w:rPr>
                <w:noProof/>
                <w:sz w:val="22"/>
              </w:rPr>
            </w:pPr>
            <w:r w:rsidRPr="0031208D">
              <w:rPr>
                <w:noProof/>
                <w:sz w:val="22"/>
              </w:rPr>
              <w:t>/</w:t>
            </w:r>
          </w:p>
        </w:tc>
      </w:tr>
      <w:tr w:rsidR="0031208D" w:rsidRPr="0031208D" w14:paraId="3BC4979A" w14:textId="77777777" w:rsidTr="008C62C8">
        <w:tc>
          <w:tcPr>
            <w:tcW w:w="3681" w:type="dxa"/>
          </w:tcPr>
          <w:p w14:paraId="2D74A1B1" w14:textId="77777777" w:rsidR="00AD502C" w:rsidRPr="0031208D" w:rsidRDefault="00E45982" w:rsidP="00AD502C">
            <w:pPr>
              <w:spacing w:before="0" w:after="0"/>
              <w:rPr>
                <w:noProof/>
                <w:sz w:val="22"/>
              </w:rPr>
            </w:pPr>
            <w:r w:rsidRPr="0031208D">
              <w:rPr>
                <w:noProof/>
                <w:sz w:val="22"/>
              </w:rPr>
              <w:t>Obsežni informacijski sistemi – Evropski sistem za potovalne informacije in odobritve (ETIAS) – člen 85(3) Uredbe (EU) 2018/1240</w:t>
            </w:r>
          </w:p>
        </w:tc>
        <w:tc>
          <w:tcPr>
            <w:tcW w:w="5382" w:type="dxa"/>
          </w:tcPr>
          <w:p w14:paraId="6E6BE1DC" w14:textId="6343D9AF" w:rsidR="00AD502C" w:rsidRPr="0031208D" w:rsidRDefault="0040327C" w:rsidP="00AD502C">
            <w:pPr>
              <w:spacing w:before="0" w:after="0"/>
              <w:rPr>
                <w:noProof/>
                <w:sz w:val="22"/>
              </w:rPr>
            </w:pPr>
            <w:r w:rsidRPr="0031208D">
              <w:rPr>
                <w:noProof/>
                <w:sz w:val="22"/>
              </w:rPr>
              <w:t>/</w:t>
            </w:r>
          </w:p>
        </w:tc>
      </w:tr>
    </w:tbl>
    <w:p w14:paraId="7FF8D153" w14:textId="77777777" w:rsidR="00AD502C" w:rsidRPr="0031208D" w:rsidRDefault="001C1609" w:rsidP="001C1609">
      <w:pPr>
        <w:pStyle w:val="ManualHeading2"/>
        <w:rPr>
          <w:noProof/>
          <w:sz w:val="22"/>
        </w:rPr>
      </w:pPr>
      <w:r w:rsidRPr="0031208D">
        <w:rPr>
          <w:sz w:val="22"/>
        </w:rPr>
        <w:t>1.7.</w:t>
      </w:r>
      <w:r w:rsidRPr="0031208D">
        <w:rPr>
          <w:sz w:val="22"/>
        </w:rPr>
        <w:tab/>
      </w:r>
      <w:r w:rsidR="00AD502C" w:rsidRPr="0031208D">
        <w:rPr>
          <w:noProof/>
          <w:sz w:val="22"/>
        </w:rPr>
        <w:t>Samo v letu 2024: nadaljevanje projektov – člen 33(4), točka (e), Uredbe (EU) 2021/1148</w:t>
      </w:r>
    </w:p>
    <w:p w14:paraId="078349F4" w14:textId="77777777" w:rsidR="00AD502C" w:rsidRPr="0031208D" w:rsidRDefault="0053671E" w:rsidP="00AD502C">
      <w:pPr>
        <w:pStyle w:val="Institutionquisigne"/>
        <w:spacing w:before="120" w:after="120"/>
        <w:rPr>
          <w:bCs/>
          <w:i w:val="0"/>
          <w:noProof/>
          <w:sz w:val="22"/>
        </w:rPr>
      </w:pPr>
      <w:r w:rsidRPr="0031208D">
        <w:rPr>
          <w:i w:val="0"/>
          <w:noProof/>
          <w:sz w:val="22"/>
        </w:rPr>
        <w:t>Poročajte o vseh projektih, ki so se nadaljevali po 1. januarju 2021 ter so bili izbrani in začeti na podlagi Uredbe (EU) št. 515/2014 Evropskega parlamenta in Sveta</w:t>
      </w:r>
      <w:r w:rsidRPr="0031208D">
        <w:rPr>
          <w:rStyle w:val="Sprotnaopomba-sklic"/>
          <w:bCs/>
          <w:i w:val="0"/>
          <w:noProof/>
          <w:sz w:val="22"/>
        </w:rPr>
        <w:footnoteReference w:id="17"/>
      </w:r>
      <w:r w:rsidRPr="0031208D">
        <w:rPr>
          <w:i w:val="0"/>
          <w:noProof/>
          <w:sz w:val="22"/>
        </w:rPr>
        <w:t>, v skladu z Uredbo (EU) št. 514/2014 Evropskega parlamenta in Sveta</w:t>
      </w:r>
      <w:r w:rsidRPr="0031208D">
        <w:rPr>
          <w:rStyle w:val="Sprotnaopomba-sklic"/>
          <w:bCs/>
          <w:i w:val="0"/>
          <w:noProof/>
          <w:sz w:val="22"/>
        </w:rPr>
        <w:footnoteReference w:id="18"/>
      </w:r>
      <w:r w:rsidRPr="0031208D">
        <w:rPr>
          <w:i w:val="0"/>
          <w:noProof/>
          <w:sz w:val="22"/>
        </w:rPr>
        <w:t>.</w:t>
      </w:r>
    </w:p>
    <w:tbl>
      <w:tblPr>
        <w:tblStyle w:val="Tabelamrea"/>
        <w:tblW w:w="0" w:type="auto"/>
        <w:tblLook w:val="04A0" w:firstRow="1" w:lastRow="0" w:firstColumn="1" w:lastColumn="0" w:noHBand="0" w:noVBand="1"/>
      </w:tblPr>
      <w:tblGrid>
        <w:gridCol w:w="9063"/>
      </w:tblGrid>
      <w:tr w:rsidR="0031208D" w:rsidRPr="0031208D" w14:paraId="148CE6A5" w14:textId="77777777" w:rsidTr="00E45665">
        <w:tc>
          <w:tcPr>
            <w:tcW w:w="9289" w:type="dxa"/>
          </w:tcPr>
          <w:p w14:paraId="52B8BF3A" w14:textId="1E55CC64" w:rsidR="00AD502C" w:rsidRPr="0031208D" w:rsidRDefault="00F55EDE" w:rsidP="00D856A3">
            <w:pPr>
              <w:pStyle w:val="Personnequisigne"/>
              <w:rPr>
                <w:noProof/>
                <w:sz w:val="22"/>
              </w:rPr>
            </w:pPr>
            <w:r w:rsidRPr="0031208D">
              <w:rPr>
                <w:noProof/>
                <w:sz w:val="22"/>
              </w:rPr>
              <w:t>/</w:t>
            </w:r>
          </w:p>
        </w:tc>
      </w:tr>
    </w:tbl>
    <w:p w14:paraId="7C7901DC" w14:textId="77777777" w:rsidR="00AD502C" w:rsidRPr="0031208D" w:rsidRDefault="001C1609" w:rsidP="001C1609">
      <w:pPr>
        <w:pStyle w:val="ManualHeading1"/>
        <w:rPr>
          <w:noProof/>
          <w:sz w:val="22"/>
        </w:rPr>
      </w:pPr>
      <w:r w:rsidRPr="0031208D">
        <w:rPr>
          <w:sz w:val="22"/>
        </w:rPr>
        <w:t>2.</w:t>
      </w:r>
      <w:r w:rsidRPr="0031208D">
        <w:rPr>
          <w:sz w:val="22"/>
        </w:rPr>
        <w:tab/>
      </w:r>
      <w:r w:rsidR="00AD502C" w:rsidRPr="0031208D">
        <w:rPr>
          <w:noProof/>
          <w:sz w:val="22"/>
        </w:rPr>
        <w:t xml:space="preserve">Dopolnjevanje </w:t>
      </w:r>
    </w:p>
    <w:p w14:paraId="49493E6C" w14:textId="77777777" w:rsidR="00AD502C" w:rsidRPr="0031208D" w:rsidRDefault="001C1609" w:rsidP="001C1609">
      <w:pPr>
        <w:pStyle w:val="ManualHeading2"/>
        <w:rPr>
          <w:noProof/>
          <w:sz w:val="22"/>
        </w:rPr>
      </w:pPr>
      <w:r w:rsidRPr="0031208D">
        <w:rPr>
          <w:sz w:val="22"/>
        </w:rPr>
        <w:t>2.1.</w:t>
      </w:r>
      <w:r w:rsidRPr="0031208D">
        <w:rPr>
          <w:sz w:val="22"/>
        </w:rPr>
        <w:tab/>
      </w:r>
      <w:r w:rsidR="00AD502C" w:rsidRPr="0031208D">
        <w:rPr>
          <w:noProof/>
          <w:sz w:val="22"/>
        </w:rPr>
        <w:t>Dopolnjevanje z drugimi skladi Unije – člen 29(2), točka (c), Uredbe (EU) 2021/1148</w:t>
      </w:r>
    </w:p>
    <w:p w14:paraId="19EC857C" w14:textId="77777777" w:rsidR="00AD502C" w:rsidRPr="0031208D" w:rsidRDefault="004F0A2D" w:rsidP="00AD502C">
      <w:pPr>
        <w:rPr>
          <w:noProof/>
          <w:sz w:val="22"/>
        </w:rPr>
      </w:pPr>
      <w:r w:rsidRPr="0031208D">
        <w:rPr>
          <w:noProof/>
          <w:sz w:val="22"/>
        </w:rPr>
        <w:t xml:space="preserve">Opišite dopolnjevanje in, če je ustrezno, sinergije, dosežene med obračunskim letom, med ukrepi, ki so podprti v okviru Instrumenta, in podporo iz drugih skladov Unije, zlasti Instrumenta za finančno podporo za opremo za carinske kontrole, Sklada za notranjo varnost, Sklada za azil, migracije in </w:t>
      </w:r>
      <w:r w:rsidRPr="0031208D">
        <w:rPr>
          <w:noProof/>
          <w:sz w:val="22"/>
        </w:rPr>
        <w:lastRenderedPageBreak/>
        <w:t>vključevanje, instrumentov Unije za zunanje financiranje</w:t>
      </w:r>
      <w:r w:rsidRPr="0031208D">
        <w:rPr>
          <w:rStyle w:val="Sprotnaopomba-sklic"/>
          <w:noProof/>
          <w:sz w:val="22"/>
        </w:rPr>
        <w:footnoteReference w:id="19"/>
      </w:r>
      <w:r w:rsidRPr="0031208D">
        <w:rPr>
          <w:noProof/>
          <w:sz w:val="22"/>
        </w:rPr>
        <w:t xml:space="preserve"> ali v zvezi s pomorskimi operacijami večnamenskega značaja. </w:t>
      </w:r>
    </w:p>
    <w:p w14:paraId="21C9AE21" w14:textId="77777777" w:rsidR="00AD502C" w:rsidRPr="0031208D" w:rsidRDefault="004F0A2D" w:rsidP="00AD502C">
      <w:pPr>
        <w:rPr>
          <w:noProof/>
          <w:sz w:val="22"/>
        </w:rPr>
      </w:pPr>
      <w:r w:rsidRPr="0031208D">
        <w:rPr>
          <w:noProof/>
          <w:sz w:val="22"/>
        </w:rPr>
        <w:t>Opišite tudi dopolnjevanje dejavnosti, ki se izvajajo z vidika krepitve medagencijskega sodelovanja</w:t>
      </w:r>
      <w:r w:rsidRPr="0031208D">
        <w:rPr>
          <w:rStyle w:val="Sprotnaopomba-sklic"/>
          <w:noProof/>
          <w:sz w:val="22"/>
        </w:rPr>
        <w:footnoteReference w:id="20"/>
      </w:r>
      <w:r w:rsidRPr="0031208D">
        <w:rPr>
          <w:noProof/>
          <w:sz w:val="22"/>
        </w:rPr>
        <w:t xml:space="preserve">, vključno s sodelovanjem z Evropsko agencijo za mejno in obalno stražo ter ustreznimi nacionalnimi organi. </w:t>
      </w:r>
    </w:p>
    <w:p w14:paraId="5129F7C9" w14:textId="77777777" w:rsidR="00AD502C" w:rsidRPr="0031208D" w:rsidRDefault="004F0A2D" w:rsidP="00AD502C">
      <w:pPr>
        <w:rPr>
          <w:noProof/>
          <w:sz w:val="22"/>
        </w:rPr>
      </w:pPr>
      <w:r w:rsidRPr="0031208D">
        <w:rPr>
          <w:noProof/>
          <w:sz w:val="22"/>
        </w:rPr>
        <w:t>Posebno pozornost namenite:</w:t>
      </w:r>
    </w:p>
    <w:p w14:paraId="5213C504" w14:textId="77777777" w:rsidR="00AD502C" w:rsidRPr="0031208D" w:rsidRDefault="00AD502C" w:rsidP="00C42346">
      <w:pPr>
        <w:pStyle w:val="Tiret0"/>
        <w:numPr>
          <w:ilvl w:val="0"/>
          <w:numId w:val="11"/>
        </w:numPr>
        <w:rPr>
          <w:noProof/>
          <w:sz w:val="22"/>
        </w:rPr>
      </w:pPr>
      <w:r w:rsidRPr="0031208D">
        <w:rPr>
          <w:noProof/>
          <w:sz w:val="22"/>
        </w:rPr>
        <w:t>dopolnjevanju z instrumenti Unije za zunanje financiranje za ukrepe, ki se izvajajo v tretjih državah ali v zvezi z njimi, s poudarkom na vidikih, ki so skladni z načeli in splošnimi cilji zunanje politike Unije,</w:t>
      </w:r>
    </w:p>
    <w:p w14:paraId="5B7A12FA" w14:textId="77777777" w:rsidR="00AD502C" w:rsidRPr="0031208D" w:rsidRDefault="00C07548" w:rsidP="00C42346">
      <w:pPr>
        <w:pStyle w:val="Tiret0"/>
        <w:numPr>
          <w:ilvl w:val="0"/>
          <w:numId w:val="11"/>
        </w:numPr>
        <w:rPr>
          <w:noProof/>
          <w:sz w:val="22"/>
        </w:rPr>
      </w:pPr>
      <w:r w:rsidRPr="0031208D">
        <w:rPr>
          <w:noProof/>
          <w:sz w:val="22"/>
        </w:rPr>
        <w:t xml:space="preserve">uporabi omogočitvenih mehanizmov, kot so obstoječe organizacijske in postopkovne ureditve, ki pomagajo doseči sinergije in dopolnjevanje, ter morebitnim ukrepom, sprejetim za njihovo izboljšanje med obračunskim letom. </w:t>
      </w:r>
    </w:p>
    <w:tbl>
      <w:tblPr>
        <w:tblStyle w:val="Tabelamrea"/>
        <w:tblW w:w="0" w:type="auto"/>
        <w:tblLook w:val="04A0" w:firstRow="1" w:lastRow="0" w:firstColumn="1" w:lastColumn="0" w:noHBand="0" w:noVBand="1"/>
      </w:tblPr>
      <w:tblGrid>
        <w:gridCol w:w="9063"/>
      </w:tblGrid>
      <w:tr w:rsidR="0031208D" w:rsidRPr="0031208D" w14:paraId="3C8C5C5A" w14:textId="77777777" w:rsidTr="0005568A">
        <w:trPr>
          <w:trHeight w:val="853"/>
        </w:trPr>
        <w:tc>
          <w:tcPr>
            <w:tcW w:w="9289" w:type="dxa"/>
          </w:tcPr>
          <w:p w14:paraId="54D41887" w14:textId="77777777" w:rsidR="008B7E2E" w:rsidRPr="0031208D" w:rsidRDefault="008B7E2E" w:rsidP="008B7E2E">
            <w:pPr>
              <w:pStyle w:val="Tiret0"/>
              <w:numPr>
                <w:ilvl w:val="0"/>
                <w:numId w:val="0"/>
              </w:numPr>
              <w:rPr>
                <w:sz w:val="22"/>
              </w:rPr>
            </w:pPr>
            <w:bookmarkStart w:id="2" w:name="_Hlk224902825"/>
            <w:r w:rsidRPr="0031208D">
              <w:rPr>
                <w:sz w:val="22"/>
              </w:rPr>
              <w:t>OU daje velik pomen spremljanju dopolnjevanj operacij programa IUMV z drugimi operacijami, EU programi ali viri financiranja ter nacionalnimi sredstvi. Upravičenci v fazi prijave navedejo morebitna dopolnjevanja z drugimi operacijami, kar tudi kasneje, v fazi izvajanja operacij, pri vsakem zahtevku za povračilo poročajo.</w:t>
            </w:r>
          </w:p>
          <w:p w14:paraId="7686B5FD" w14:textId="66F87CBA" w:rsidR="008B7E2E" w:rsidRPr="0031208D" w:rsidRDefault="008B7E2E" w:rsidP="008B7E2E">
            <w:pPr>
              <w:pStyle w:val="Tiret0"/>
              <w:numPr>
                <w:ilvl w:val="0"/>
                <w:numId w:val="0"/>
              </w:numPr>
              <w:spacing w:before="0"/>
              <w:rPr>
                <w:sz w:val="22"/>
              </w:rPr>
            </w:pPr>
            <w:r w:rsidRPr="0031208D">
              <w:rPr>
                <w:sz w:val="22"/>
              </w:rPr>
              <w:t>Na podlagi podatkov, ki jih posredujejo upravičenci, je zaznano dopolnjevanje med operacijami, ki se izvajajo znotraj istega programa, in sicer med operacijami Ministrstva za zunanje in evropske zadeve ter Policije. To se kaže v njunem usklajenem delovanju na različnih, vendar vsebinsko povezanih ravneh nadzora nad vstopom v schengensko območje ter pri upravljanju vizumskih in mejnih informacijskih sistemov.</w:t>
            </w:r>
          </w:p>
          <w:p w14:paraId="16AC0C26" w14:textId="65D5E7F3" w:rsidR="008B7E2E" w:rsidRPr="0031208D" w:rsidRDefault="008B7E2E" w:rsidP="008B7E2E">
            <w:pPr>
              <w:pStyle w:val="Tiret0"/>
              <w:numPr>
                <w:ilvl w:val="0"/>
                <w:numId w:val="0"/>
              </w:numPr>
              <w:spacing w:before="0"/>
              <w:rPr>
                <w:sz w:val="22"/>
              </w:rPr>
            </w:pPr>
            <w:r w:rsidRPr="0031208D">
              <w:rPr>
                <w:sz w:val="22"/>
              </w:rPr>
              <w:t>Zaznano je tudi izrazito vsebinsko dopolnjevanje med programoma SNV in IUMV. To se kaže prek izmenjave informacij in analiz tveganj med konzularno in policijsko ravnjo, usklajevanja postopkov pri odkrivanju zlorab vizumov ter skupnega prispevka k delovanju integriranega upravljanja meja. Posledično se povečuje učinkovitost ukrepov, saj gre za celostno obravnavo tveganj – od izdaje vizuma do dejanskega prehoda zunanje meje.</w:t>
            </w:r>
          </w:p>
          <w:p w14:paraId="7322C867" w14:textId="5A304332" w:rsidR="008B7E2E" w:rsidRPr="0031208D" w:rsidRDefault="008B7E2E" w:rsidP="008B7E2E">
            <w:pPr>
              <w:pStyle w:val="Tiret0"/>
              <w:numPr>
                <w:ilvl w:val="0"/>
                <w:numId w:val="0"/>
              </w:numPr>
              <w:spacing w:before="0"/>
              <w:rPr>
                <w:sz w:val="22"/>
              </w:rPr>
            </w:pPr>
            <w:r w:rsidRPr="0031208D">
              <w:rPr>
                <w:sz w:val="22"/>
              </w:rPr>
              <w:t>Širše gledano je na področju preprečevanja nezakonitih migracij zaznati dopolnjevanje vseh treh programov, pri čemer je povezava med programoma SNV in IUMV neposredna in operativna, medtem ko je vsebinska povezava s programom AMIF posredna, predvsem na ravni obravnave migracijskih tokov, azilnih postopkov ter integracijskih ukrepov.</w:t>
            </w:r>
          </w:p>
          <w:p w14:paraId="75270BC1" w14:textId="088EC0EA" w:rsidR="008B7E2E" w:rsidRPr="0031208D" w:rsidRDefault="008B7E2E" w:rsidP="008B7E2E">
            <w:pPr>
              <w:pStyle w:val="Tiret0"/>
              <w:numPr>
                <w:ilvl w:val="0"/>
                <w:numId w:val="0"/>
              </w:numPr>
              <w:rPr>
                <w:sz w:val="22"/>
              </w:rPr>
            </w:pPr>
            <w:r w:rsidRPr="0031208D">
              <w:rPr>
                <w:sz w:val="22"/>
              </w:rPr>
              <w:t>Za zaznavanje širšega dopolnjevanja je OU vzpostavil sistematičen pristop k pridobivanju informacij o financiranju iz drugih virov EU. V ta namen sodeluje z organi upravljanja in posredniškimi telesi drugih programov, pridobiva informacije iz nevladnega sektorja ter preverja javno dostopne informacije o sofinanciranih projektih.</w:t>
            </w:r>
          </w:p>
          <w:p w14:paraId="75FAEA57" w14:textId="36194E87" w:rsidR="008B7E2E" w:rsidRPr="0031208D" w:rsidRDefault="008B7E2E" w:rsidP="008B7E2E">
            <w:pPr>
              <w:pStyle w:val="Tiret0"/>
              <w:numPr>
                <w:ilvl w:val="0"/>
                <w:numId w:val="0"/>
              </w:numPr>
              <w:spacing w:before="0"/>
              <w:rPr>
                <w:sz w:val="22"/>
              </w:rPr>
            </w:pPr>
            <w:r w:rsidRPr="0031208D">
              <w:rPr>
                <w:sz w:val="22"/>
              </w:rPr>
              <w:t>Na podlagi opravljene analize zbranih podatkov je ugotovljeno, da se operacije programa IUMV v veliki meri dopolnjujejo s projekti Načrta za okrevanje in odpornost. Dopolnjevanje med programoma se uresničuje predvsem prek naložb v digitalizacijo, krepitev institucionalnih zmogljivosti ter odpornosti države, zlasti na področju digitalnih mejnih sistemov ter krepitve schengenskega območja.</w:t>
            </w:r>
          </w:p>
          <w:p w14:paraId="46E439DB" w14:textId="4FF45151" w:rsidR="00A31E26" w:rsidRPr="0031208D" w:rsidRDefault="008B7E2E" w:rsidP="008B7E2E">
            <w:pPr>
              <w:pStyle w:val="Tiret0"/>
              <w:numPr>
                <w:ilvl w:val="0"/>
                <w:numId w:val="0"/>
              </w:numPr>
              <w:spacing w:before="0"/>
              <w:rPr>
                <w:sz w:val="22"/>
              </w:rPr>
            </w:pPr>
            <w:r w:rsidRPr="0031208D">
              <w:rPr>
                <w:sz w:val="22"/>
              </w:rPr>
              <w:t xml:space="preserve">Komplementarnost operacij programa IUMV na področju razvoja </w:t>
            </w:r>
            <w:proofErr w:type="spellStart"/>
            <w:r w:rsidRPr="0031208D">
              <w:rPr>
                <w:sz w:val="22"/>
              </w:rPr>
              <w:t>interoperabilnih</w:t>
            </w:r>
            <w:proofErr w:type="spellEnd"/>
            <w:r w:rsidRPr="0031208D">
              <w:rPr>
                <w:sz w:val="22"/>
              </w:rPr>
              <w:t xml:space="preserve"> aplikativnih rešitev (EES, ETIAS, SIRENE, INTERPOL, EUROPOL) in posodobitve obstoječe programske opreme (SIS) je bila dosežena skozi sinergijo z razvojem, nadgradnjami in vzdrževanjem centralne strežniške platforme CEPIS, ki se je financirala iz Načrta za okrevanje in odpornost </w:t>
            </w:r>
            <w:proofErr w:type="spellStart"/>
            <w:r w:rsidRPr="0031208D">
              <w:rPr>
                <w:sz w:val="22"/>
              </w:rPr>
              <w:t>NextGenerationEU</w:t>
            </w:r>
            <w:proofErr w:type="spellEnd"/>
            <w:r w:rsidRPr="0031208D">
              <w:rPr>
                <w:sz w:val="22"/>
              </w:rPr>
              <w:t>. Na ta način je zagotovljena racionalna raba sredstev EU, preprečevanje dvojnega financiranja ter večja učinkovitost in trajnost naložb.</w:t>
            </w:r>
          </w:p>
        </w:tc>
      </w:tr>
    </w:tbl>
    <w:bookmarkEnd w:id="2"/>
    <w:p w14:paraId="6FBFC1B5" w14:textId="77777777" w:rsidR="00AD502C" w:rsidRPr="0031208D" w:rsidRDefault="001C1609" w:rsidP="001C1609">
      <w:pPr>
        <w:pStyle w:val="ManualHeading2"/>
        <w:rPr>
          <w:noProof/>
          <w:sz w:val="22"/>
        </w:rPr>
      </w:pPr>
      <w:r w:rsidRPr="0031208D">
        <w:rPr>
          <w:sz w:val="22"/>
        </w:rPr>
        <w:lastRenderedPageBreak/>
        <w:t>2.2.</w:t>
      </w:r>
      <w:r w:rsidRPr="0031208D">
        <w:rPr>
          <w:sz w:val="22"/>
        </w:rPr>
        <w:tab/>
      </w:r>
      <w:r w:rsidR="00AD502C" w:rsidRPr="0031208D">
        <w:rPr>
          <w:noProof/>
          <w:sz w:val="22"/>
        </w:rPr>
        <w:t xml:space="preserve">Večnamenska oprema in sistemi IKT – člen 13(14) Uredbe (EU) 2021/1148 </w:t>
      </w:r>
    </w:p>
    <w:p w14:paraId="2A7734DE" w14:textId="77777777" w:rsidR="008671BE" w:rsidRPr="0031208D" w:rsidRDefault="00956638" w:rsidP="00AD502C">
      <w:pPr>
        <w:rPr>
          <w:noProof/>
          <w:sz w:val="22"/>
        </w:rPr>
      </w:pPr>
      <w:r w:rsidRPr="0031208D">
        <w:rPr>
          <w:noProof/>
          <w:sz w:val="22"/>
        </w:rPr>
        <w:t xml:space="preserve">Na kratko opišite ustrezne operacije, ki vključujejo opremo in sisteme IKT, nabavljene s podporo programa med obračunskim letom in uporabljene na dopolnilnih področjih carinskih kontrol, v pomorskih operacijah večnamenskega značaja ali za doseganje ciljev Sklada za notranjo varnost ter Sklada za azil, migracije in vključevanje. Navedite kraje, kjer so bili večnamenska oprema in sistemi IKT uporabljeni. </w:t>
      </w:r>
    </w:p>
    <w:p w14:paraId="3A33E2B8" w14:textId="77777777" w:rsidR="00AD502C" w:rsidRPr="0031208D" w:rsidRDefault="00AD502C" w:rsidP="00AD502C">
      <w:pPr>
        <w:rPr>
          <w:noProof/>
          <w:sz w:val="22"/>
        </w:rPr>
      </w:pPr>
      <w:r w:rsidRPr="0031208D">
        <w:rPr>
          <w:noProof/>
          <w:sz w:val="22"/>
        </w:rPr>
        <w:t xml:space="preserve">Za opremo navedite tudi informacije o obdobju njene uporabe na dopolnilnih področjih. </w:t>
      </w:r>
    </w:p>
    <w:tbl>
      <w:tblPr>
        <w:tblStyle w:val="Tabelamrea"/>
        <w:tblW w:w="0" w:type="auto"/>
        <w:tblLook w:val="04A0" w:firstRow="1" w:lastRow="0" w:firstColumn="1" w:lastColumn="0" w:noHBand="0" w:noVBand="1"/>
      </w:tblPr>
      <w:tblGrid>
        <w:gridCol w:w="9063"/>
      </w:tblGrid>
      <w:tr w:rsidR="0031208D" w:rsidRPr="0031208D" w14:paraId="16246861" w14:textId="77777777" w:rsidTr="00E45665">
        <w:tc>
          <w:tcPr>
            <w:tcW w:w="9289" w:type="dxa"/>
          </w:tcPr>
          <w:p w14:paraId="3E62D149" w14:textId="63262A20" w:rsidR="00C20312" w:rsidRPr="0031208D" w:rsidRDefault="00F24F58" w:rsidP="00C20312">
            <w:pPr>
              <w:pStyle w:val="Personnequisigne"/>
              <w:jc w:val="both"/>
              <w:rPr>
                <w:i w:val="0"/>
                <w:noProof/>
                <w:sz w:val="22"/>
              </w:rPr>
            </w:pPr>
            <w:r w:rsidRPr="0031208D">
              <w:rPr>
                <w:i w:val="0"/>
                <w:noProof/>
                <w:sz w:val="22"/>
              </w:rPr>
              <w:t xml:space="preserve">Slovenija je v obračunskem obdobju poročanja </w:t>
            </w:r>
            <w:r w:rsidR="0023019F" w:rsidRPr="0031208D">
              <w:rPr>
                <w:i w:val="0"/>
                <w:noProof/>
                <w:sz w:val="22"/>
              </w:rPr>
              <w:t xml:space="preserve">pričela z izvajanjem </w:t>
            </w:r>
            <w:r w:rsidR="00442783" w:rsidRPr="0031208D">
              <w:rPr>
                <w:i w:val="0"/>
                <w:noProof/>
                <w:sz w:val="22"/>
              </w:rPr>
              <w:t xml:space="preserve">operacij, katerih predmet je </w:t>
            </w:r>
            <w:r w:rsidR="0023019F" w:rsidRPr="0031208D">
              <w:rPr>
                <w:i w:val="0"/>
                <w:noProof/>
                <w:sz w:val="22"/>
              </w:rPr>
              <w:t>večnamensk</w:t>
            </w:r>
            <w:r w:rsidR="00442783" w:rsidRPr="0031208D">
              <w:rPr>
                <w:i w:val="0"/>
                <w:noProof/>
                <w:sz w:val="22"/>
              </w:rPr>
              <w:t>a</w:t>
            </w:r>
            <w:r w:rsidR="0023019F" w:rsidRPr="0031208D">
              <w:rPr>
                <w:i w:val="0"/>
                <w:noProof/>
                <w:sz w:val="22"/>
              </w:rPr>
              <w:t xml:space="preserve"> oprem</w:t>
            </w:r>
            <w:r w:rsidR="00E42D77" w:rsidRPr="0031208D">
              <w:rPr>
                <w:i w:val="0"/>
                <w:noProof/>
                <w:sz w:val="22"/>
              </w:rPr>
              <w:t>a</w:t>
            </w:r>
            <w:r w:rsidR="0023019F" w:rsidRPr="0031208D">
              <w:rPr>
                <w:i w:val="0"/>
                <w:noProof/>
                <w:sz w:val="22"/>
              </w:rPr>
              <w:t xml:space="preserve"> in sistemi IKT, ki bi </w:t>
            </w:r>
            <w:r w:rsidR="00442783" w:rsidRPr="0031208D">
              <w:rPr>
                <w:i w:val="0"/>
                <w:noProof/>
                <w:sz w:val="22"/>
              </w:rPr>
              <w:t>lahko imela uporabo</w:t>
            </w:r>
            <w:r w:rsidR="0023019F" w:rsidRPr="0031208D">
              <w:rPr>
                <w:i w:val="0"/>
                <w:noProof/>
                <w:sz w:val="22"/>
              </w:rPr>
              <w:t xml:space="preserve"> na dopolnilnih področjih carinskih kontrol, v pomorskih operacijah večnamenskega značaja ali za doseganje ciljev Sklada za notranjo varnost ter Sklada za azil, migracije in vključevanje.</w:t>
            </w:r>
            <w:r w:rsidR="00442783" w:rsidRPr="0031208D">
              <w:rPr>
                <w:i w:val="0"/>
                <w:noProof/>
                <w:sz w:val="22"/>
              </w:rPr>
              <w:t xml:space="preserve"> Kljub temu, takšni nakupi še niso bili realizirani ali izvedeni in oprema še ni v uporabi, zato o tem ne moremo poročati.</w:t>
            </w:r>
          </w:p>
          <w:p w14:paraId="738D7DEA" w14:textId="5E7323FF" w:rsidR="00B53969" w:rsidRPr="0031208D" w:rsidRDefault="00B53969" w:rsidP="00C965F8">
            <w:pPr>
              <w:pStyle w:val="Personnequisigne"/>
              <w:jc w:val="both"/>
              <w:rPr>
                <w:i w:val="0"/>
                <w:noProof/>
                <w:sz w:val="22"/>
              </w:rPr>
            </w:pPr>
          </w:p>
        </w:tc>
      </w:tr>
    </w:tbl>
    <w:p w14:paraId="0DC51A26" w14:textId="77777777" w:rsidR="008671BE" w:rsidRPr="0031208D" w:rsidRDefault="0078471E">
      <w:pPr>
        <w:rPr>
          <w:noProof/>
          <w:sz w:val="22"/>
        </w:rPr>
      </w:pPr>
      <w:r w:rsidRPr="0031208D">
        <w:rPr>
          <w:noProof/>
          <w:sz w:val="22"/>
        </w:rPr>
        <w:t>Za informacijski sistem Unije, ki se financira na podlagi Uredbe (EU) 2021/1148 in služi tudi ciljem Uredbe (EU) 2021/1147 in Uredbe (EU) 2021/1149 (večnamenski) ali dejavnostim, ki se zahtevajo v pravnem okviru Unije za interoperabilnost</w:t>
      </w:r>
      <w:r w:rsidRPr="0031208D">
        <w:rPr>
          <w:rStyle w:val="Sprotnaopomba-sklic"/>
          <w:noProof/>
          <w:sz w:val="22"/>
        </w:rPr>
        <w:footnoteReference w:id="21"/>
      </w:r>
      <w:r w:rsidRPr="0031208D">
        <w:rPr>
          <w:noProof/>
          <w:sz w:val="22"/>
        </w:rPr>
        <w:t xml:space="preserve">, izpolnite spodnjo preglednico. </w:t>
      </w:r>
    </w:p>
    <w:tbl>
      <w:tblPr>
        <w:tblStyle w:val="Tabelamrea"/>
        <w:tblW w:w="9289" w:type="dxa"/>
        <w:tblLayout w:type="fixed"/>
        <w:tblLook w:val="04A0" w:firstRow="1" w:lastRow="0" w:firstColumn="1" w:lastColumn="0" w:noHBand="0" w:noVBand="1"/>
      </w:tblPr>
      <w:tblGrid>
        <w:gridCol w:w="704"/>
        <w:gridCol w:w="1276"/>
        <w:gridCol w:w="1134"/>
        <w:gridCol w:w="1417"/>
        <w:gridCol w:w="1276"/>
        <w:gridCol w:w="709"/>
        <w:gridCol w:w="1276"/>
        <w:gridCol w:w="1497"/>
      </w:tblGrid>
      <w:tr w:rsidR="0031208D" w:rsidRPr="0031208D" w14:paraId="6DC9B9FF" w14:textId="77777777" w:rsidTr="001C6967">
        <w:trPr>
          <w:trHeight w:val="688"/>
        </w:trPr>
        <w:tc>
          <w:tcPr>
            <w:tcW w:w="704" w:type="dxa"/>
            <w:vAlign w:val="center"/>
          </w:tcPr>
          <w:p w14:paraId="5D88CD2A" w14:textId="77777777" w:rsidR="008671BE" w:rsidRPr="0031208D" w:rsidRDefault="008671BE" w:rsidP="00F12B44">
            <w:pPr>
              <w:pStyle w:val="Institutionquisigne"/>
              <w:spacing w:before="0"/>
              <w:jc w:val="center"/>
              <w:rPr>
                <w:i w:val="0"/>
                <w:noProof/>
                <w:sz w:val="20"/>
                <w:szCs w:val="20"/>
              </w:rPr>
            </w:pPr>
            <w:r w:rsidRPr="0031208D">
              <w:rPr>
                <w:i w:val="0"/>
                <w:noProof/>
                <w:sz w:val="20"/>
                <w:szCs w:val="20"/>
              </w:rPr>
              <w:lastRenderedPageBreak/>
              <w:t>Specifični cilj</w:t>
            </w:r>
          </w:p>
        </w:tc>
        <w:tc>
          <w:tcPr>
            <w:tcW w:w="1276" w:type="dxa"/>
            <w:vAlign w:val="center"/>
          </w:tcPr>
          <w:p w14:paraId="6433A849"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Ime operacije</w:t>
            </w:r>
          </w:p>
        </w:tc>
        <w:tc>
          <w:tcPr>
            <w:tcW w:w="1134" w:type="dxa"/>
            <w:vAlign w:val="center"/>
          </w:tcPr>
          <w:p w14:paraId="2CCBE52B"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Upravičenec operacije</w:t>
            </w:r>
          </w:p>
        </w:tc>
        <w:tc>
          <w:tcPr>
            <w:tcW w:w="1417" w:type="dxa"/>
            <w:vAlign w:val="center"/>
          </w:tcPr>
          <w:p w14:paraId="252364A3"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Cilj operacije</w:t>
            </w:r>
          </w:p>
        </w:tc>
        <w:tc>
          <w:tcPr>
            <w:tcW w:w="1276" w:type="dxa"/>
            <w:vAlign w:val="center"/>
          </w:tcPr>
          <w:p w14:paraId="59D875AA"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Obdobje izvajanja</w:t>
            </w:r>
          </w:p>
        </w:tc>
        <w:tc>
          <w:tcPr>
            <w:tcW w:w="709" w:type="dxa"/>
            <w:vAlign w:val="center"/>
          </w:tcPr>
          <w:p w14:paraId="6026DA4A"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Stopnja sofinanciranja</w:t>
            </w:r>
          </w:p>
        </w:tc>
        <w:tc>
          <w:tcPr>
            <w:tcW w:w="1276" w:type="dxa"/>
            <w:vAlign w:val="center"/>
          </w:tcPr>
          <w:p w14:paraId="4D91396D"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Upravičeni stroški</w:t>
            </w:r>
            <w:r w:rsidRPr="0031208D">
              <w:rPr>
                <w:rStyle w:val="Sprotnaopomba-sklic"/>
                <w:b/>
                <w:i w:val="0"/>
                <w:noProof/>
                <w:sz w:val="20"/>
                <w:szCs w:val="20"/>
              </w:rPr>
              <w:footnoteReference w:id="22"/>
            </w:r>
          </w:p>
        </w:tc>
        <w:tc>
          <w:tcPr>
            <w:tcW w:w="1497" w:type="dxa"/>
            <w:vAlign w:val="center"/>
          </w:tcPr>
          <w:p w14:paraId="5754DDB1" w14:textId="77777777" w:rsidR="008671BE" w:rsidRPr="0031208D" w:rsidRDefault="008671BE" w:rsidP="0059250C">
            <w:pPr>
              <w:pStyle w:val="Institutionquisigne"/>
              <w:spacing w:before="0"/>
              <w:jc w:val="center"/>
              <w:rPr>
                <w:i w:val="0"/>
                <w:noProof/>
                <w:sz w:val="20"/>
                <w:szCs w:val="20"/>
              </w:rPr>
            </w:pPr>
            <w:r w:rsidRPr="0031208D">
              <w:rPr>
                <w:i w:val="0"/>
                <w:noProof/>
                <w:sz w:val="20"/>
                <w:szCs w:val="20"/>
              </w:rPr>
              <w:t>Upravičeni izdatki</w:t>
            </w:r>
            <w:r w:rsidRPr="0031208D">
              <w:rPr>
                <w:rStyle w:val="Sprotnaopomba-sklic"/>
                <w:b/>
                <w:i w:val="0"/>
                <w:noProof/>
                <w:sz w:val="20"/>
                <w:szCs w:val="20"/>
              </w:rPr>
              <w:footnoteReference w:id="23"/>
            </w:r>
          </w:p>
        </w:tc>
      </w:tr>
      <w:tr w:rsidR="0031208D" w:rsidRPr="0031208D" w14:paraId="0E9EC849" w14:textId="77777777" w:rsidTr="001C6967">
        <w:trPr>
          <w:trHeight w:val="255"/>
        </w:trPr>
        <w:tc>
          <w:tcPr>
            <w:tcW w:w="704" w:type="dxa"/>
            <w:vAlign w:val="center"/>
          </w:tcPr>
          <w:p w14:paraId="20D66895" w14:textId="1DC5CBFA" w:rsidR="00136DD5" w:rsidRPr="0031208D" w:rsidRDefault="00136DD5" w:rsidP="00136DD5">
            <w:pPr>
              <w:pStyle w:val="Institutionquisigne"/>
              <w:spacing w:before="0"/>
              <w:jc w:val="center"/>
              <w:rPr>
                <w:i w:val="0"/>
                <w:noProof/>
                <w:sz w:val="20"/>
                <w:szCs w:val="20"/>
              </w:rPr>
            </w:pPr>
            <w:r w:rsidRPr="0031208D">
              <w:rPr>
                <w:i w:val="0"/>
                <w:noProof/>
                <w:sz w:val="20"/>
                <w:szCs w:val="20"/>
              </w:rPr>
              <w:t>SO1</w:t>
            </w:r>
          </w:p>
        </w:tc>
        <w:tc>
          <w:tcPr>
            <w:tcW w:w="1276" w:type="dxa"/>
            <w:vAlign w:val="center"/>
          </w:tcPr>
          <w:p w14:paraId="4A8278A2" w14:textId="77777777" w:rsidR="008F6984" w:rsidRPr="0031208D" w:rsidRDefault="003F712B" w:rsidP="00136DD5">
            <w:pPr>
              <w:pStyle w:val="Institutionquisigne"/>
              <w:spacing w:before="0"/>
              <w:jc w:val="center"/>
              <w:rPr>
                <w:i w:val="0"/>
                <w:noProof/>
                <w:sz w:val="20"/>
                <w:szCs w:val="20"/>
              </w:rPr>
            </w:pPr>
            <w:r w:rsidRPr="0031208D">
              <w:rPr>
                <w:i w:val="0"/>
                <w:noProof/>
                <w:sz w:val="20"/>
                <w:szCs w:val="20"/>
              </w:rPr>
              <w:t xml:space="preserve">B.SO1.1.10-01A </w:t>
            </w:r>
          </w:p>
          <w:p w14:paraId="5C76E9C1" w14:textId="083DEB8F" w:rsidR="00136DD5" w:rsidRPr="0031208D" w:rsidRDefault="003F712B" w:rsidP="00136DD5">
            <w:pPr>
              <w:pStyle w:val="Institutionquisigne"/>
              <w:spacing w:before="0"/>
              <w:jc w:val="center"/>
              <w:rPr>
                <w:i w:val="0"/>
                <w:noProof/>
                <w:sz w:val="20"/>
                <w:szCs w:val="20"/>
              </w:rPr>
            </w:pPr>
            <w:r w:rsidRPr="0031208D">
              <w:rPr>
                <w:i w:val="0"/>
                <w:noProof/>
                <w:sz w:val="20"/>
                <w:szCs w:val="20"/>
              </w:rPr>
              <w:t>Prenova za interoperabilnost in stroški razvijalcev</w:t>
            </w:r>
          </w:p>
        </w:tc>
        <w:tc>
          <w:tcPr>
            <w:tcW w:w="1134" w:type="dxa"/>
            <w:vAlign w:val="center"/>
          </w:tcPr>
          <w:p w14:paraId="58F271D8" w14:textId="42C7B01E" w:rsidR="00136DD5" w:rsidRPr="0031208D" w:rsidRDefault="00136DD5" w:rsidP="00136DD5">
            <w:pPr>
              <w:pStyle w:val="Institutionquisigne"/>
              <w:spacing w:before="0"/>
              <w:jc w:val="center"/>
              <w:rPr>
                <w:i w:val="0"/>
                <w:noProof/>
                <w:sz w:val="20"/>
                <w:szCs w:val="20"/>
              </w:rPr>
            </w:pPr>
            <w:r w:rsidRPr="0031208D">
              <w:rPr>
                <w:i w:val="0"/>
                <w:noProof/>
                <w:sz w:val="20"/>
                <w:szCs w:val="20"/>
              </w:rPr>
              <w:t>Policija - Urad za informatiko in telekomunikacije</w:t>
            </w:r>
          </w:p>
        </w:tc>
        <w:tc>
          <w:tcPr>
            <w:tcW w:w="1417" w:type="dxa"/>
            <w:vAlign w:val="center"/>
          </w:tcPr>
          <w:p w14:paraId="6806586A" w14:textId="5A35399D" w:rsidR="00136DD5" w:rsidRPr="0031208D" w:rsidRDefault="001C6967" w:rsidP="00136DD5">
            <w:pPr>
              <w:pStyle w:val="Institutionquisigne"/>
              <w:spacing w:before="0"/>
              <w:jc w:val="center"/>
              <w:rPr>
                <w:i w:val="0"/>
                <w:noProof/>
                <w:sz w:val="20"/>
                <w:szCs w:val="20"/>
              </w:rPr>
            </w:pPr>
            <w:r w:rsidRPr="0031208D">
              <w:rPr>
                <w:i w:val="0"/>
                <w:noProof/>
                <w:sz w:val="20"/>
                <w:szCs w:val="20"/>
              </w:rPr>
              <w:t>Obdelava podatkov in informacij</w:t>
            </w:r>
          </w:p>
        </w:tc>
        <w:tc>
          <w:tcPr>
            <w:tcW w:w="1276" w:type="dxa"/>
            <w:vAlign w:val="center"/>
          </w:tcPr>
          <w:p w14:paraId="567AB864" w14:textId="04F3E73B" w:rsidR="00136DD5" w:rsidRPr="0031208D" w:rsidRDefault="00136DD5" w:rsidP="00136DD5">
            <w:pPr>
              <w:pStyle w:val="Institutionquisigne"/>
              <w:spacing w:before="0"/>
              <w:jc w:val="center"/>
              <w:rPr>
                <w:i w:val="0"/>
                <w:noProof/>
                <w:sz w:val="20"/>
                <w:szCs w:val="20"/>
              </w:rPr>
            </w:pPr>
            <w:r w:rsidRPr="0031208D">
              <w:rPr>
                <w:i w:val="0"/>
                <w:noProof/>
                <w:sz w:val="20"/>
                <w:szCs w:val="20"/>
              </w:rPr>
              <w:t>2023-2027</w:t>
            </w:r>
          </w:p>
        </w:tc>
        <w:tc>
          <w:tcPr>
            <w:tcW w:w="709" w:type="dxa"/>
            <w:vAlign w:val="center"/>
          </w:tcPr>
          <w:p w14:paraId="3D00C505" w14:textId="1BFA7264" w:rsidR="00136DD5" w:rsidRPr="0031208D" w:rsidRDefault="00136DD5" w:rsidP="00136DD5">
            <w:pPr>
              <w:pStyle w:val="Institutionquisigne"/>
              <w:spacing w:before="0"/>
              <w:jc w:val="center"/>
              <w:rPr>
                <w:i w:val="0"/>
                <w:noProof/>
                <w:sz w:val="20"/>
                <w:szCs w:val="20"/>
              </w:rPr>
            </w:pPr>
            <w:r w:rsidRPr="0031208D">
              <w:rPr>
                <w:i w:val="0"/>
                <w:noProof/>
                <w:sz w:val="20"/>
                <w:szCs w:val="20"/>
              </w:rPr>
              <w:t>75%</w:t>
            </w:r>
          </w:p>
        </w:tc>
        <w:tc>
          <w:tcPr>
            <w:tcW w:w="1276" w:type="dxa"/>
          </w:tcPr>
          <w:p w14:paraId="619331D9" w14:textId="7C093553" w:rsidR="00136DD5" w:rsidRPr="0031208D" w:rsidRDefault="001C6967" w:rsidP="00136DD5">
            <w:pPr>
              <w:pStyle w:val="Institutionquisigne"/>
              <w:spacing w:before="0"/>
              <w:jc w:val="center"/>
              <w:rPr>
                <w:i w:val="0"/>
                <w:noProof/>
                <w:sz w:val="20"/>
                <w:szCs w:val="20"/>
              </w:rPr>
            </w:pPr>
            <w:r w:rsidRPr="0031208D">
              <w:rPr>
                <w:i w:val="0"/>
                <w:noProof/>
                <w:sz w:val="20"/>
                <w:szCs w:val="20"/>
              </w:rPr>
              <w:t xml:space="preserve">     2.410.666,67</w:t>
            </w:r>
          </w:p>
        </w:tc>
        <w:tc>
          <w:tcPr>
            <w:tcW w:w="1497" w:type="dxa"/>
          </w:tcPr>
          <w:p w14:paraId="514ACBA6" w14:textId="77777777" w:rsidR="001C6967" w:rsidRPr="0031208D" w:rsidRDefault="001C6967" w:rsidP="003F712B">
            <w:pPr>
              <w:spacing w:before="0" w:after="0"/>
              <w:jc w:val="center"/>
              <w:rPr>
                <w:sz w:val="20"/>
                <w:szCs w:val="20"/>
              </w:rPr>
            </w:pPr>
            <w:r w:rsidRPr="0031208D">
              <w:rPr>
                <w:sz w:val="20"/>
                <w:szCs w:val="20"/>
              </w:rPr>
              <w:t xml:space="preserve">    </w:t>
            </w:r>
          </w:p>
          <w:p w14:paraId="52275B6D" w14:textId="339E0C4E" w:rsidR="003F712B" w:rsidRPr="0031208D" w:rsidRDefault="003F712B" w:rsidP="003F712B">
            <w:pPr>
              <w:spacing w:before="0" w:after="0"/>
              <w:jc w:val="center"/>
              <w:rPr>
                <w:sz w:val="20"/>
                <w:szCs w:val="20"/>
              </w:rPr>
            </w:pPr>
            <w:r w:rsidRPr="0031208D">
              <w:rPr>
                <w:sz w:val="20"/>
                <w:szCs w:val="20"/>
              </w:rPr>
              <w:t>1.321,43</w:t>
            </w:r>
          </w:p>
          <w:p w14:paraId="66EC3449" w14:textId="03540A2B" w:rsidR="00136DD5" w:rsidRPr="0031208D" w:rsidRDefault="00136DD5" w:rsidP="00136DD5">
            <w:pPr>
              <w:pStyle w:val="Institutionquisigne"/>
              <w:spacing w:before="0"/>
              <w:jc w:val="center"/>
              <w:rPr>
                <w:i w:val="0"/>
                <w:noProof/>
                <w:sz w:val="20"/>
                <w:szCs w:val="20"/>
              </w:rPr>
            </w:pPr>
          </w:p>
        </w:tc>
      </w:tr>
      <w:tr w:rsidR="0031208D" w:rsidRPr="0031208D" w14:paraId="3D878473" w14:textId="77777777" w:rsidTr="001C6967">
        <w:trPr>
          <w:trHeight w:val="255"/>
        </w:trPr>
        <w:tc>
          <w:tcPr>
            <w:tcW w:w="704" w:type="dxa"/>
            <w:vAlign w:val="center"/>
          </w:tcPr>
          <w:p w14:paraId="7C766458" w14:textId="1F1AE37C" w:rsidR="00BC4F78" w:rsidRPr="0031208D" w:rsidRDefault="00BC4F78" w:rsidP="00BC4F78">
            <w:pPr>
              <w:pStyle w:val="Institutionquisigne"/>
              <w:spacing w:before="0"/>
              <w:jc w:val="center"/>
              <w:rPr>
                <w:i w:val="0"/>
                <w:noProof/>
                <w:sz w:val="20"/>
                <w:szCs w:val="20"/>
              </w:rPr>
            </w:pPr>
            <w:r w:rsidRPr="0031208D">
              <w:rPr>
                <w:i w:val="0"/>
                <w:noProof/>
                <w:sz w:val="20"/>
                <w:szCs w:val="20"/>
              </w:rPr>
              <w:t>SO</w:t>
            </w:r>
            <w:r w:rsidR="003F712B" w:rsidRPr="0031208D">
              <w:rPr>
                <w:i w:val="0"/>
                <w:noProof/>
                <w:sz w:val="20"/>
                <w:szCs w:val="20"/>
              </w:rPr>
              <w:t>1</w:t>
            </w:r>
          </w:p>
        </w:tc>
        <w:tc>
          <w:tcPr>
            <w:tcW w:w="1276" w:type="dxa"/>
            <w:vAlign w:val="bottom"/>
          </w:tcPr>
          <w:p w14:paraId="13AE8839" w14:textId="77777777" w:rsidR="00BC4F78" w:rsidRPr="0031208D" w:rsidRDefault="003F712B" w:rsidP="00BC4F78">
            <w:pPr>
              <w:pStyle w:val="Institutionquisigne"/>
              <w:spacing w:before="0"/>
              <w:jc w:val="center"/>
              <w:rPr>
                <w:i w:val="0"/>
                <w:noProof/>
                <w:sz w:val="20"/>
                <w:szCs w:val="20"/>
              </w:rPr>
            </w:pPr>
            <w:r w:rsidRPr="0031208D">
              <w:rPr>
                <w:i w:val="0"/>
                <w:noProof/>
                <w:sz w:val="20"/>
                <w:szCs w:val="20"/>
              </w:rPr>
              <w:t>B.SO1.1.20-01A Insourceing EES</w:t>
            </w:r>
          </w:p>
          <w:p w14:paraId="5F4DAC4C" w14:textId="77777777" w:rsidR="003F712B" w:rsidRPr="0031208D" w:rsidRDefault="003F712B" w:rsidP="003F712B">
            <w:pPr>
              <w:pStyle w:val="Personnequisigne"/>
            </w:pPr>
          </w:p>
          <w:p w14:paraId="64F47D47" w14:textId="5C06CEC9" w:rsidR="003F712B" w:rsidRPr="0031208D" w:rsidRDefault="003F712B" w:rsidP="003F712B">
            <w:pPr>
              <w:pStyle w:val="Institutionquisigne"/>
            </w:pPr>
          </w:p>
        </w:tc>
        <w:tc>
          <w:tcPr>
            <w:tcW w:w="1134" w:type="dxa"/>
          </w:tcPr>
          <w:p w14:paraId="1276E9A2" w14:textId="2E7B47E6" w:rsidR="00BC4F78" w:rsidRPr="0031208D" w:rsidRDefault="00BC4F78" w:rsidP="00BC4F78">
            <w:pPr>
              <w:pStyle w:val="Institutionquisigne"/>
              <w:spacing w:before="0"/>
              <w:jc w:val="center"/>
              <w:rPr>
                <w:i w:val="0"/>
                <w:noProof/>
                <w:sz w:val="20"/>
                <w:szCs w:val="20"/>
              </w:rPr>
            </w:pPr>
            <w:r w:rsidRPr="0031208D">
              <w:rPr>
                <w:i w:val="0"/>
                <w:noProof/>
                <w:sz w:val="20"/>
                <w:szCs w:val="20"/>
              </w:rPr>
              <w:t>Policija - Urad za informatiko in telekomunikacije</w:t>
            </w:r>
          </w:p>
        </w:tc>
        <w:tc>
          <w:tcPr>
            <w:tcW w:w="1417" w:type="dxa"/>
            <w:vAlign w:val="center"/>
          </w:tcPr>
          <w:p w14:paraId="76EDA159" w14:textId="68E2912D" w:rsidR="00BC4F78" w:rsidRPr="0031208D" w:rsidRDefault="001C6967" w:rsidP="00BC4F78">
            <w:pPr>
              <w:pStyle w:val="Institutionquisigne"/>
              <w:spacing w:before="0"/>
              <w:jc w:val="center"/>
              <w:rPr>
                <w:i w:val="0"/>
                <w:noProof/>
                <w:sz w:val="20"/>
                <w:szCs w:val="20"/>
              </w:rPr>
            </w:pPr>
            <w:r w:rsidRPr="0031208D">
              <w:rPr>
                <w:i w:val="0"/>
                <w:noProof/>
                <w:sz w:val="20"/>
                <w:szCs w:val="20"/>
              </w:rPr>
              <w:t>Obsežni informacijski sistemi - EES</w:t>
            </w:r>
          </w:p>
        </w:tc>
        <w:tc>
          <w:tcPr>
            <w:tcW w:w="1276" w:type="dxa"/>
            <w:vAlign w:val="center"/>
          </w:tcPr>
          <w:p w14:paraId="1553C7B3" w14:textId="508FF262" w:rsidR="00BC4F78" w:rsidRPr="0031208D" w:rsidRDefault="00BC4F78" w:rsidP="00BC4F78">
            <w:pPr>
              <w:pStyle w:val="Institutionquisigne"/>
              <w:spacing w:before="0"/>
              <w:jc w:val="center"/>
              <w:rPr>
                <w:i w:val="0"/>
                <w:noProof/>
                <w:sz w:val="20"/>
                <w:szCs w:val="20"/>
              </w:rPr>
            </w:pPr>
            <w:r w:rsidRPr="0031208D">
              <w:rPr>
                <w:i w:val="0"/>
                <w:noProof/>
                <w:sz w:val="20"/>
                <w:szCs w:val="20"/>
              </w:rPr>
              <w:t>2023-2027</w:t>
            </w:r>
          </w:p>
        </w:tc>
        <w:tc>
          <w:tcPr>
            <w:tcW w:w="709" w:type="dxa"/>
            <w:vAlign w:val="center"/>
          </w:tcPr>
          <w:p w14:paraId="4A20D4F3" w14:textId="66859A23" w:rsidR="00BC4F78" w:rsidRPr="0031208D" w:rsidRDefault="00BC4F78" w:rsidP="00BC4F78">
            <w:pPr>
              <w:pStyle w:val="Institutionquisigne"/>
              <w:spacing w:before="0"/>
              <w:jc w:val="center"/>
              <w:rPr>
                <w:i w:val="0"/>
                <w:noProof/>
                <w:sz w:val="20"/>
                <w:szCs w:val="20"/>
              </w:rPr>
            </w:pPr>
            <w:r w:rsidRPr="0031208D">
              <w:rPr>
                <w:i w:val="0"/>
                <w:noProof/>
                <w:sz w:val="20"/>
                <w:szCs w:val="20"/>
              </w:rPr>
              <w:t>75%</w:t>
            </w:r>
          </w:p>
        </w:tc>
        <w:tc>
          <w:tcPr>
            <w:tcW w:w="1276" w:type="dxa"/>
            <w:vAlign w:val="bottom"/>
          </w:tcPr>
          <w:p w14:paraId="6B86519D" w14:textId="77777777" w:rsidR="00BC4F78" w:rsidRPr="0031208D" w:rsidRDefault="001C6967" w:rsidP="00BC4F78">
            <w:pPr>
              <w:pStyle w:val="Institutionquisigne"/>
              <w:spacing w:before="0"/>
              <w:jc w:val="center"/>
              <w:rPr>
                <w:i w:val="0"/>
                <w:noProof/>
                <w:sz w:val="20"/>
                <w:szCs w:val="20"/>
              </w:rPr>
            </w:pPr>
            <w:r w:rsidRPr="0031208D">
              <w:rPr>
                <w:i w:val="0"/>
                <w:noProof/>
                <w:sz w:val="20"/>
                <w:szCs w:val="20"/>
              </w:rPr>
              <w:t>1.486.000</w:t>
            </w:r>
          </w:p>
          <w:p w14:paraId="646ECA88" w14:textId="77777777" w:rsidR="001C6967" w:rsidRPr="0031208D" w:rsidRDefault="001C6967" w:rsidP="001C6967">
            <w:pPr>
              <w:pStyle w:val="Personnequisigne"/>
            </w:pPr>
          </w:p>
          <w:p w14:paraId="44424671" w14:textId="77777777" w:rsidR="001C6967" w:rsidRPr="0031208D" w:rsidRDefault="001C6967" w:rsidP="001C6967">
            <w:pPr>
              <w:pStyle w:val="Institutionquisigne"/>
            </w:pPr>
          </w:p>
          <w:p w14:paraId="68964D95" w14:textId="5F3B87CB" w:rsidR="001C6967" w:rsidRPr="0031208D" w:rsidRDefault="001C6967" w:rsidP="001C6967">
            <w:pPr>
              <w:pStyle w:val="Personnequisigne"/>
            </w:pPr>
          </w:p>
        </w:tc>
        <w:tc>
          <w:tcPr>
            <w:tcW w:w="1497" w:type="dxa"/>
            <w:vAlign w:val="bottom"/>
          </w:tcPr>
          <w:p w14:paraId="160ACE7B" w14:textId="42127D81" w:rsidR="001C6967" w:rsidRPr="004462E4" w:rsidRDefault="004462E4" w:rsidP="004462E4">
            <w:pPr>
              <w:pStyle w:val="Institutionquisigne"/>
              <w:spacing w:before="0"/>
              <w:jc w:val="center"/>
              <w:rPr>
                <w:i w:val="0"/>
                <w:noProof/>
                <w:sz w:val="20"/>
                <w:szCs w:val="20"/>
              </w:rPr>
            </w:pPr>
            <w:r w:rsidRPr="004462E4">
              <w:rPr>
                <w:i w:val="0"/>
                <w:noProof/>
                <w:sz w:val="20"/>
                <w:szCs w:val="20"/>
              </w:rPr>
              <w:t>182.307,02</w:t>
            </w:r>
          </w:p>
          <w:p w14:paraId="10226182" w14:textId="77777777" w:rsidR="001C6967" w:rsidRPr="0031208D" w:rsidRDefault="001C6967" w:rsidP="001C6967">
            <w:pPr>
              <w:pStyle w:val="Institutionquisigne"/>
            </w:pPr>
          </w:p>
          <w:p w14:paraId="692B4F21" w14:textId="0D9AF2A4" w:rsidR="001C6967" w:rsidRPr="0031208D" w:rsidRDefault="001C6967" w:rsidP="001C6967">
            <w:pPr>
              <w:pStyle w:val="Personnequisigne"/>
            </w:pPr>
          </w:p>
        </w:tc>
      </w:tr>
      <w:tr w:rsidR="0031208D" w:rsidRPr="0031208D" w14:paraId="77625A0C" w14:textId="77777777" w:rsidTr="001C6967">
        <w:trPr>
          <w:trHeight w:val="255"/>
        </w:trPr>
        <w:tc>
          <w:tcPr>
            <w:tcW w:w="704" w:type="dxa"/>
            <w:vAlign w:val="center"/>
          </w:tcPr>
          <w:p w14:paraId="12F0F2FE" w14:textId="407BFFD7" w:rsidR="003F712B" w:rsidRPr="0031208D" w:rsidRDefault="003F712B" w:rsidP="003F712B">
            <w:pPr>
              <w:pStyle w:val="Institutionquisigne"/>
              <w:spacing w:before="0"/>
              <w:jc w:val="center"/>
              <w:rPr>
                <w:i w:val="0"/>
                <w:noProof/>
                <w:sz w:val="20"/>
                <w:szCs w:val="20"/>
              </w:rPr>
            </w:pPr>
            <w:r w:rsidRPr="0031208D">
              <w:rPr>
                <w:i w:val="0"/>
                <w:noProof/>
                <w:sz w:val="20"/>
                <w:szCs w:val="20"/>
              </w:rPr>
              <w:t>SO1</w:t>
            </w:r>
          </w:p>
        </w:tc>
        <w:tc>
          <w:tcPr>
            <w:tcW w:w="1276" w:type="dxa"/>
            <w:vAlign w:val="bottom"/>
          </w:tcPr>
          <w:p w14:paraId="40A6AB21" w14:textId="4E067C41" w:rsidR="003F712B" w:rsidRPr="0031208D" w:rsidRDefault="003F712B" w:rsidP="003F712B">
            <w:pPr>
              <w:pStyle w:val="Institutionquisigne"/>
              <w:spacing w:before="0"/>
              <w:jc w:val="center"/>
              <w:rPr>
                <w:i w:val="0"/>
                <w:noProof/>
                <w:sz w:val="20"/>
                <w:szCs w:val="20"/>
              </w:rPr>
            </w:pPr>
            <w:r w:rsidRPr="0031208D">
              <w:rPr>
                <w:i w:val="0"/>
                <w:sz w:val="20"/>
                <w:szCs w:val="20"/>
              </w:rPr>
              <w:t>B.SO1.1.7-01A Posodobitev aplikacij za izmenjave podatkov (EUROPOL, INTERPOL, SIRENE)</w:t>
            </w:r>
          </w:p>
        </w:tc>
        <w:tc>
          <w:tcPr>
            <w:tcW w:w="1134" w:type="dxa"/>
          </w:tcPr>
          <w:p w14:paraId="54FFD4F3" w14:textId="4A8202D8" w:rsidR="003F712B" w:rsidRPr="0031208D" w:rsidRDefault="003F712B" w:rsidP="003F712B">
            <w:pPr>
              <w:pStyle w:val="Institutionquisigne"/>
              <w:spacing w:before="0"/>
              <w:jc w:val="center"/>
              <w:rPr>
                <w:i w:val="0"/>
                <w:noProof/>
                <w:sz w:val="20"/>
                <w:szCs w:val="20"/>
              </w:rPr>
            </w:pPr>
            <w:r w:rsidRPr="0031208D">
              <w:rPr>
                <w:i w:val="0"/>
                <w:noProof/>
                <w:sz w:val="20"/>
                <w:szCs w:val="20"/>
              </w:rPr>
              <w:t>Policija - Urad za informatiko in telekomunikacije</w:t>
            </w:r>
          </w:p>
        </w:tc>
        <w:tc>
          <w:tcPr>
            <w:tcW w:w="1417" w:type="dxa"/>
            <w:vAlign w:val="center"/>
          </w:tcPr>
          <w:p w14:paraId="75993E73" w14:textId="53CD86DD" w:rsidR="003F712B" w:rsidRPr="0031208D" w:rsidRDefault="001C6967" w:rsidP="003F712B">
            <w:pPr>
              <w:pStyle w:val="Institutionquisigne"/>
              <w:spacing w:before="0"/>
              <w:jc w:val="center"/>
              <w:rPr>
                <w:i w:val="0"/>
                <w:noProof/>
                <w:sz w:val="20"/>
                <w:szCs w:val="20"/>
              </w:rPr>
            </w:pPr>
            <w:r w:rsidRPr="0031208D">
              <w:rPr>
                <w:i w:val="0"/>
                <w:noProof/>
                <w:sz w:val="20"/>
                <w:szCs w:val="20"/>
              </w:rPr>
              <w:t>Tehnični in operativni ukrepi na schengenskem območju, vezani na nadzor meje</w:t>
            </w:r>
          </w:p>
        </w:tc>
        <w:tc>
          <w:tcPr>
            <w:tcW w:w="1276" w:type="dxa"/>
            <w:vAlign w:val="center"/>
          </w:tcPr>
          <w:p w14:paraId="12FDA942" w14:textId="6872029A" w:rsidR="003F712B" w:rsidRPr="0031208D" w:rsidRDefault="003F712B" w:rsidP="003F712B">
            <w:pPr>
              <w:pStyle w:val="Institutionquisigne"/>
              <w:spacing w:before="0"/>
              <w:jc w:val="center"/>
              <w:rPr>
                <w:i w:val="0"/>
                <w:noProof/>
                <w:sz w:val="20"/>
                <w:szCs w:val="20"/>
              </w:rPr>
            </w:pPr>
            <w:r w:rsidRPr="0031208D">
              <w:rPr>
                <w:i w:val="0"/>
                <w:noProof/>
                <w:sz w:val="20"/>
                <w:szCs w:val="20"/>
              </w:rPr>
              <w:t>202</w:t>
            </w:r>
            <w:r w:rsidR="001C6967" w:rsidRPr="0031208D">
              <w:rPr>
                <w:i w:val="0"/>
                <w:noProof/>
                <w:sz w:val="20"/>
                <w:szCs w:val="20"/>
              </w:rPr>
              <w:t>4</w:t>
            </w:r>
            <w:r w:rsidRPr="0031208D">
              <w:rPr>
                <w:i w:val="0"/>
                <w:noProof/>
                <w:sz w:val="20"/>
                <w:szCs w:val="20"/>
              </w:rPr>
              <w:t>-2027</w:t>
            </w:r>
          </w:p>
        </w:tc>
        <w:tc>
          <w:tcPr>
            <w:tcW w:w="709" w:type="dxa"/>
            <w:vAlign w:val="center"/>
          </w:tcPr>
          <w:p w14:paraId="2852F69C" w14:textId="00B7AD18" w:rsidR="003F712B" w:rsidRPr="0031208D" w:rsidRDefault="003F712B" w:rsidP="003F712B">
            <w:pPr>
              <w:pStyle w:val="Institutionquisigne"/>
              <w:spacing w:before="0"/>
              <w:jc w:val="center"/>
              <w:rPr>
                <w:i w:val="0"/>
                <w:noProof/>
                <w:sz w:val="20"/>
                <w:szCs w:val="20"/>
              </w:rPr>
            </w:pPr>
            <w:r w:rsidRPr="0031208D">
              <w:rPr>
                <w:i w:val="0"/>
                <w:noProof/>
                <w:sz w:val="20"/>
                <w:szCs w:val="20"/>
              </w:rPr>
              <w:t>75%</w:t>
            </w:r>
          </w:p>
        </w:tc>
        <w:tc>
          <w:tcPr>
            <w:tcW w:w="1276" w:type="dxa"/>
            <w:vAlign w:val="bottom"/>
          </w:tcPr>
          <w:p w14:paraId="556F2165" w14:textId="77777777" w:rsidR="003F712B" w:rsidRPr="0031208D" w:rsidRDefault="001C6967" w:rsidP="003F712B">
            <w:pPr>
              <w:pStyle w:val="Institutionquisigne"/>
              <w:spacing w:before="0"/>
              <w:jc w:val="center"/>
              <w:rPr>
                <w:i w:val="0"/>
                <w:noProof/>
                <w:sz w:val="20"/>
                <w:szCs w:val="20"/>
              </w:rPr>
            </w:pPr>
            <w:r w:rsidRPr="0031208D">
              <w:rPr>
                <w:i w:val="0"/>
                <w:noProof/>
                <w:sz w:val="20"/>
                <w:szCs w:val="20"/>
              </w:rPr>
              <w:t>963.000</w:t>
            </w:r>
          </w:p>
          <w:p w14:paraId="2E103438" w14:textId="77777777" w:rsidR="001C6967" w:rsidRPr="0031208D" w:rsidRDefault="001C6967" w:rsidP="001C6967">
            <w:pPr>
              <w:pStyle w:val="Personnequisigne"/>
            </w:pPr>
          </w:p>
          <w:p w14:paraId="11CB89E7" w14:textId="40DF0629" w:rsidR="001C6967" w:rsidRPr="0031208D" w:rsidRDefault="001C6967" w:rsidP="001C6967">
            <w:pPr>
              <w:pStyle w:val="Institutionquisigne"/>
            </w:pPr>
          </w:p>
        </w:tc>
        <w:tc>
          <w:tcPr>
            <w:tcW w:w="1497" w:type="dxa"/>
            <w:vAlign w:val="bottom"/>
          </w:tcPr>
          <w:p w14:paraId="2913C0E2" w14:textId="77777777" w:rsidR="003F712B" w:rsidRPr="0031208D" w:rsidRDefault="003F712B" w:rsidP="003F712B">
            <w:pPr>
              <w:pStyle w:val="Institutionquisigne"/>
              <w:spacing w:before="0"/>
              <w:jc w:val="center"/>
              <w:rPr>
                <w:i w:val="0"/>
                <w:sz w:val="20"/>
                <w:szCs w:val="20"/>
              </w:rPr>
            </w:pPr>
            <w:r w:rsidRPr="0031208D">
              <w:rPr>
                <w:i w:val="0"/>
                <w:sz w:val="20"/>
                <w:szCs w:val="20"/>
              </w:rPr>
              <w:t>28.196,64</w:t>
            </w:r>
          </w:p>
          <w:p w14:paraId="7BE93482" w14:textId="77777777" w:rsidR="001C6967" w:rsidRPr="0031208D" w:rsidRDefault="001C6967" w:rsidP="001C6967">
            <w:pPr>
              <w:pStyle w:val="Personnequisigne"/>
            </w:pPr>
          </w:p>
          <w:p w14:paraId="4876247B" w14:textId="34D1002D" w:rsidR="001C6967" w:rsidRPr="0031208D" w:rsidRDefault="001C6967" w:rsidP="001C6967">
            <w:pPr>
              <w:pStyle w:val="Institutionquisigne"/>
            </w:pPr>
          </w:p>
        </w:tc>
      </w:tr>
      <w:tr w:rsidR="0031208D" w:rsidRPr="0031208D" w14:paraId="1BEEDB1C" w14:textId="77777777" w:rsidTr="001C6967">
        <w:trPr>
          <w:trHeight w:val="255"/>
        </w:trPr>
        <w:tc>
          <w:tcPr>
            <w:tcW w:w="704" w:type="dxa"/>
            <w:vAlign w:val="center"/>
          </w:tcPr>
          <w:p w14:paraId="4466D57C" w14:textId="4FE265EC" w:rsidR="003F712B" w:rsidRPr="0031208D" w:rsidRDefault="003F712B" w:rsidP="003F712B">
            <w:pPr>
              <w:pStyle w:val="Institutionquisigne"/>
              <w:spacing w:before="0"/>
              <w:jc w:val="center"/>
              <w:rPr>
                <w:i w:val="0"/>
                <w:noProof/>
                <w:sz w:val="20"/>
                <w:szCs w:val="20"/>
              </w:rPr>
            </w:pPr>
            <w:r w:rsidRPr="0031208D">
              <w:rPr>
                <w:i w:val="0"/>
                <w:noProof/>
                <w:sz w:val="20"/>
                <w:szCs w:val="20"/>
              </w:rPr>
              <w:t>SO1</w:t>
            </w:r>
          </w:p>
        </w:tc>
        <w:tc>
          <w:tcPr>
            <w:tcW w:w="1276" w:type="dxa"/>
            <w:vAlign w:val="bottom"/>
          </w:tcPr>
          <w:p w14:paraId="54D3D6D3" w14:textId="77777777" w:rsidR="008F6984" w:rsidRPr="0031208D" w:rsidRDefault="003F712B" w:rsidP="003F712B">
            <w:pPr>
              <w:pStyle w:val="Institutionquisigne"/>
              <w:spacing w:before="0"/>
              <w:jc w:val="center"/>
              <w:rPr>
                <w:i w:val="0"/>
                <w:sz w:val="20"/>
                <w:szCs w:val="20"/>
              </w:rPr>
            </w:pPr>
            <w:r w:rsidRPr="0031208D">
              <w:rPr>
                <w:i w:val="0"/>
                <w:sz w:val="20"/>
                <w:szCs w:val="20"/>
              </w:rPr>
              <w:t xml:space="preserve">B.SO1.3.25-01A </w:t>
            </w:r>
          </w:p>
          <w:p w14:paraId="3818D79B" w14:textId="0A5AB4B9" w:rsidR="003F712B" w:rsidRPr="0031208D" w:rsidRDefault="003F712B" w:rsidP="003F712B">
            <w:pPr>
              <w:pStyle w:val="Institutionquisigne"/>
              <w:spacing w:before="0"/>
              <w:jc w:val="center"/>
              <w:rPr>
                <w:i w:val="0"/>
                <w:sz w:val="20"/>
                <w:szCs w:val="20"/>
              </w:rPr>
            </w:pPr>
            <w:r w:rsidRPr="0031208D">
              <w:rPr>
                <w:i w:val="0"/>
                <w:sz w:val="20"/>
                <w:szCs w:val="20"/>
              </w:rPr>
              <w:t>Razvoj in nacionalna implementacija EU projektov v sklopu interoperabilnosti</w:t>
            </w:r>
          </w:p>
        </w:tc>
        <w:tc>
          <w:tcPr>
            <w:tcW w:w="1134" w:type="dxa"/>
          </w:tcPr>
          <w:p w14:paraId="2C141BD1" w14:textId="2F65D277" w:rsidR="003F712B" w:rsidRPr="0031208D" w:rsidRDefault="003F712B" w:rsidP="003F712B">
            <w:pPr>
              <w:pStyle w:val="Institutionquisigne"/>
              <w:spacing w:before="0"/>
              <w:jc w:val="center"/>
              <w:rPr>
                <w:i w:val="0"/>
                <w:noProof/>
                <w:sz w:val="20"/>
                <w:szCs w:val="20"/>
              </w:rPr>
            </w:pPr>
            <w:r w:rsidRPr="0031208D">
              <w:rPr>
                <w:i w:val="0"/>
                <w:noProof/>
                <w:sz w:val="20"/>
                <w:szCs w:val="20"/>
              </w:rPr>
              <w:t>Policija - Urad za informatiko in telekomunikacije</w:t>
            </w:r>
          </w:p>
        </w:tc>
        <w:tc>
          <w:tcPr>
            <w:tcW w:w="1417" w:type="dxa"/>
            <w:vAlign w:val="center"/>
          </w:tcPr>
          <w:p w14:paraId="1A7BF7D8" w14:textId="24C84F0D" w:rsidR="003F712B" w:rsidRPr="0031208D" w:rsidRDefault="001C6967" w:rsidP="003F712B">
            <w:pPr>
              <w:pStyle w:val="Institutionquisigne"/>
              <w:spacing w:before="0"/>
              <w:jc w:val="center"/>
              <w:rPr>
                <w:i w:val="0"/>
                <w:noProof/>
                <w:sz w:val="20"/>
                <w:szCs w:val="20"/>
              </w:rPr>
            </w:pPr>
            <w:r w:rsidRPr="0031208D">
              <w:rPr>
                <w:i w:val="0"/>
                <w:noProof/>
                <w:sz w:val="20"/>
                <w:szCs w:val="20"/>
              </w:rPr>
              <w:t>Obsežni informacijski sistemi - interoperabilnost</w:t>
            </w:r>
          </w:p>
        </w:tc>
        <w:tc>
          <w:tcPr>
            <w:tcW w:w="1276" w:type="dxa"/>
            <w:vAlign w:val="center"/>
          </w:tcPr>
          <w:p w14:paraId="20DFE7EC" w14:textId="06187CA0" w:rsidR="003F712B" w:rsidRPr="0031208D" w:rsidRDefault="001C6967" w:rsidP="003F712B">
            <w:pPr>
              <w:pStyle w:val="Institutionquisigne"/>
              <w:spacing w:before="0"/>
              <w:jc w:val="center"/>
              <w:rPr>
                <w:i w:val="0"/>
                <w:noProof/>
                <w:sz w:val="20"/>
                <w:szCs w:val="20"/>
              </w:rPr>
            </w:pPr>
            <w:r w:rsidRPr="0031208D">
              <w:rPr>
                <w:i w:val="0"/>
                <w:noProof/>
                <w:sz w:val="20"/>
                <w:szCs w:val="20"/>
              </w:rPr>
              <w:t>2023-2027</w:t>
            </w:r>
          </w:p>
        </w:tc>
        <w:tc>
          <w:tcPr>
            <w:tcW w:w="709" w:type="dxa"/>
            <w:vAlign w:val="center"/>
          </w:tcPr>
          <w:p w14:paraId="48D10307" w14:textId="5D278A2C" w:rsidR="003F712B" w:rsidRPr="0031208D" w:rsidRDefault="001C6967" w:rsidP="003F712B">
            <w:pPr>
              <w:pStyle w:val="Institutionquisigne"/>
              <w:spacing w:before="0"/>
              <w:jc w:val="center"/>
              <w:rPr>
                <w:i w:val="0"/>
                <w:noProof/>
                <w:sz w:val="20"/>
                <w:szCs w:val="20"/>
              </w:rPr>
            </w:pPr>
            <w:r w:rsidRPr="0031208D">
              <w:rPr>
                <w:i w:val="0"/>
                <w:noProof/>
                <w:sz w:val="20"/>
                <w:szCs w:val="20"/>
              </w:rPr>
              <w:t>90%</w:t>
            </w:r>
          </w:p>
        </w:tc>
        <w:tc>
          <w:tcPr>
            <w:tcW w:w="1276" w:type="dxa"/>
            <w:vAlign w:val="bottom"/>
          </w:tcPr>
          <w:p w14:paraId="3BC35CF3" w14:textId="77777777" w:rsidR="003F712B" w:rsidRPr="0031208D" w:rsidRDefault="001C6967" w:rsidP="003F712B">
            <w:pPr>
              <w:pStyle w:val="Institutionquisigne"/>
              <w:spacing w:before="0"/>
              <w:jc w:val="center"/>
              <w:rPr>
                <w:i w:val="0"/>
                <w:noProof/>
                <w:sz w:val="20"/>
                <w:szCs w:val="20"/>
              </w:rPr>
            </w:pPr>
            <w:r w:rsidRPr="0031208D">
              <w:rPr>
                <w:i w:val="0"/>
                <w:noProof/>
                <w:sz w:val="20"/>
                <w:szCs w:val="20"/>
              </w:rPr>
              <w:t>3.141.111,12</w:t>
            </w:r>
          </w:p>
          <w:p w14:paraId="16A648DA" w14:textId="77777777" w:rsidR="001C6967" w:rsidRPr="0031208D" w:rsidRDefault="001C6967" w:rsidP="001C6967">
            <w:pPr>
              <w:pStyle w:val="Personnequisigne"/>
            </w:pPr>
          </w:p>
          <w:p w14:paraId="156E0986" w14:textId="4D1E07F7" w:rsidR="001C6967" w:rsidRPr="0031208D" w:rsidRDefault="001C6967" w:rsidP="001C6967">
            <w:pPr>
              <w:pStyle w:val="Institutionquisigne"/>
            </w:pPr>
          </w:p>
        </w:tc>
        <w:tc>
          <w:tcPr>
            <w:tcW w:w="1497" w:type="dxa"/>
            <w:vAlign w:val="bottom"/>
          </w:tcPr>
          <w:p w14:paraId="79830F35" w14:textId="77777777" w:rsidR="003F712B" w:rsidRPr="0031208D" w:rsidRDefault="003F712B" w:rsidP="003F712B">
            <w:pPr>
              <w:pStyle w:val="Institutionquisigne"/>
              <w:spacing w:before="0"/>
              <w:jc w:val="center"/>
              <w:rPr>
                <w:i w:val="0"/>
                <w:sz w:val="20"/>
                <w:szCs w:val="20"/>
              </w:rPr>
            </w:pPr>
            <w:r w:rsidRPr="0031208D">
              <w:rPr>
                <w:i w:val="0"/>
                <w:sz w:val="20"/>
                <w:szCs w:val="20"/>
              </w:rPr>
              <w:t>25.431,74</w:t>
            </w:r>
          </w:p>
          <w:p w14:paraId="65A54ED7" w14:textId="77777777" w:rsidR="001C6967" w:rsidRPr="0031208D" w:rsidRDefault="001C6967" w:rsidP="001C6967">
            <w:pPr>
              <w:pStyle w:val="Personnequisigne"/>
            </w:pPr>
          </w:p>
          <w:p w14:paraId="39701553" w14:textId="5100915E" w:rsidR="001C6967" w:rsidRPr="0031208D" w:rsidRDefault="001C6967" w:rsidP="001C6967">
            <w:pPr>
              <w:pStyle w:val="Institutionquisigne"/>
            </w:pPr>
          </w:p>
        </w:tc>
      </w:tr>
      <w:tr w:rsidR="0031208D" w:rsidRPr="0031208D" w14:paraId="40116357" w14:textId="77777777" w:rsidTr="001C6967">
        <w:trPr>
          <w:trHeight w:val="255"/>
        </w:trPr>
        <w:tc>
          <w:tcPr>
            <w:tcW w:w="704" w:type="dxa"/>
          </w:tcPr>
          <w:p w14:paraId="1325769F" w14:textId="40B8BE24" w:rsidR="00BC4F78" w:rsidRPr="0031208D" w:rsidRDefault="00BC4F78" w:rsidP="00BC4F78">
            <w:pPr>
              <w:pStyle w:val="Institutionquisigne"/>
              <w:spacing w:before="0"/>
              <w:jc w:val="center"/>
              <w:rPr>
                <w:i w:val="0"/>
                <w:noProof/>
                <w:sz w:val="20"/>
                <w:szCs w:val="20"/>
              </w:rPr>
            </w:pPr>
            <w:r w:rsidRPr="0031208D">
              <w:rPr>
                <w:i w:val="0"/>
                <w:noProof/>
                <w:sz w:val="20"/>
                <w:szCs w:val="20"/>
              </w:rPr>
              <w:t>SO</w:t>
            </w:r>
            <w:r w:rsidR="003F712B" w:rsidRPr="0031208D">
              <w:rPr>
                <w:i w:val="0"/>
                <w:noProof/>
                <w:sz w:val="20"/>
                <w:szCs w:val="20"/>
              </w:rPr>
              <w:t>1</w:t>
            </w:r>
          </w:p>
        </w:tc>
        <w:tc>
          <w:tcPr>
            <w:tcW w:w="1276" w:type="dxa"/>
            <w:vAlign w:val="bottom"/>
          </w:tcPr>
          <w:p w14:paraId="1F4479C5" w14:textId="73DF0352" w:rsidR="00BC4F78" w:rsidRPr="0031208D" w:rsidRDefault="003F712B" w:rsidP="00BC4F78">
            <w:pPr>
              <w:pStyle w:val="Institutionquisigne"/>
              <w:spacing w:before="0"/>
              <w:jc w:val="center"/>
              <w:rPr>
                <w:i w:val="0"/>
                <w:noProof/>
                <w:sz w:val="20"/>
                <w:szCs w:val="20"/>
              </w:rPr>
            </w:pPr>
            <w:r w:rsidRPr="0031208D">
              <w:rPr>
                <w:i w:val="0"/>
                <w:noProof/>
                <w:sz w:val="20"/>
                <w:szCs w:val="20"/>
              </w:rPr>
              <w:t xml:space="preserve">B.SO1.4.26-02A Vzdrževanje SIS II komunikacijskega vmesnika (SIB) </w:t>
            </w:r>
          </w:p>
        </w:tc>
        <w:tc>
          <w:tcPr>
            <w:tcW w:w="1134" w:type="dxa"/>
          </w:tcPr>
          <w:p w14:paraId="21004366" w14:textId="78B3EC76" w:rsidR="00BC4F78" w:rsidRPr="0031208D" w:rsidRDefault="00BC4F78" w:rsidP="00BC4F78">
            <w:pPr>
              <w:pStyle w:val="Institutionquisigne"/>
              <w:spacing w:before="0"/>
              <w:jc w:val="center"/>
              <w:rPr>
                <w:i w:val="0"/>
                <w:noProof/>
                <w:sz w:val="20"/>
                <w:szCs w:val="20"/>
              </w:rPr>
            </w:pPr>
            <w:r w:rsidRPr="0031208D">
              <w:rPr>
                <w:i w:val="0"/>
                <w:noProof/>
                <w:sz w:val="20"/>
                <w:szCs w:val="20"/>
              </w:rPr>
              <w:t>Policija - Urad za informatiko in telekomunikacije</w:t>
            </w:r>
          </w:p>
        </w:tc>
        <w:tc>
          <w:tcPr>
            <w:tcW w:w="1417" w:type="dxa"/>
            <w:vAlign w:val="center"/>
          </w:tcPr>
          <w:p w14:paraId="222668D0" w14:textId="2B737FDA" w:rsidR="00BC4F78" w:rsidRPr="0031208D" w:rsidRDefault="006850C6" w:rsidP="00BC4F78">
            <w:pPr>
              <w:pStyle w:val="Institutionquisigne"/>
              <w:spacing w:before="0"/>
              <w:jc w:val="center"/>
              <w:rPr>
                <w:i w:val="0"/>
                <w:noProof/>
                <w:sz w:val="20"/>
                <w:szCs w:val="20"/>
              </w:rPr>
            </w:pPr>
            <w:r w:rsidRPr="0031208D">
              <w:rPr>
                <w:i w:val="0"/>
                <w:noProof/>
                <w:sz w:val="20"/>
                <w:szCs w:val="20"/>
              </w:rPr>
              <w:t>Operativna podpora za integrirano upravljanje meja</w:t>
            </w:r>
          </w:p>
        </w:tc>
        <w:tc>
          <w:tcPr>
            <w:tcW w:w="1276" w:type="dxa"/>
            <w:vAlign w:val="center"/>
          </w:tcPr>
          <w:p w14:paraId="368FB55A" w14:textId="472BB1D3" w:rsidR="00BC4F78" w:rsidRPr="0031208D" w:rsidRDefault="00BC4F78" w:rsidP="00BC4F78">
            <w:pPr>
              <w:pStyle w:val="Institutionquisigne"/>
              <w:spacing w:before="0"/>
              <w:jc w:val="center"/>
              <w:rPr>
                <w:i w:val="0"/>
                <w:noProof/>
                <w:sz w:val="20"/>
                <w:szCs w:val="20"/>
              </w:rPr>
            </w:pPr>
            <w:r w:rsidRPr="0031208D">
              <w:rPr>
                <w:i w:val="0"/>
                <w:noProof/>
                <w:sz w:val="20"/>
                <w:szCs w:val="20"/>
              </w:rPr>
              <w:t>2023-2027</w:t>
            </w:r>
          </w:p>
        </w:tc>
        <w:tc>
          <w:tcPr>
            <w:tcW w:w="709" w:type="dxa"/>
            <w:vAlign w:val="center"/>
          </w:tcPr>
          <w:p w14:paraId="422D039B" w14:textId="517008C6" w:rsidR="00BC4F78" w:rsidRPr="0031208D" w:rsidRDefault="003F712B" w:rsidP="00BC4F78">
            <w:pPr>
              <w:pStyle w:val="Institutionquisigne"/>
              <w:spacing w:before="0"/>
              <w:jc w:val="center"/>
              <w:rPr>
                <w:i w:val="0"/>
                <w:noProof/>
                <w:sz w:val="20"/>
                <w:szCs w:val="20"/>
              </w:rPr>
            </w:pPr>
            <w:r w:rsidRPr="0031208D">
              <w:rPr>
                <w:i w:val="0"/>
                <w:noProof/>
                <w:sz w:val="20"/>
                <w:szCs w:val="20"/>
              </w:rPr>
              <w:t>100</w:t>
            </w:r>
            <w:r w:rsidR="00BC4F78" w:rsidRPr="0031208D">
              <w:rPr>
                <w:i w:val="0"/>
                <w:noProof/>
                <w:sz w:val="20"/>
                <w:szCs w:val="20"/>
              </w:rPr>
              <w:t>%</w:t>
            </w:r>
          </w:p>
        </w:tc>
        <w:tc>
          <w:tcPr>
            <w:tcW w:w="1276" w:type="dxa"/>
            <w:vAlign w:val="bottom"/>
          </w:tcPr>
          <w:p w14:paraId="69F6D9FA" w14:textId="77777777" w:rsidR="00BC4F78" w:rsidRPr="0031208D" w:rsidRDefault="006850C6" w:rsidP="00BC4F78">
            <w:pPr>
              <w:pStyle w:val="Institutionquisigne"/>
              <w:spacing w:before="0"/>
              <w:jc w:val="center"/>
              <w:rPr>
                <w:i w:val="0"/>
                <w:noProof/>
                <w:sz w:val="20"/>
                <w:szCs w:val="20"/>
              </w:rPr>
            </w:pPr>
            <w:r w:rsidRPr="0031208D">
              <w:rPr>
                <w:i w:val="0"/>
                <w:noProof/>
                <w:sz w:val="20"/>
                <w:szCs w:val="20"/>
              </w:rPr>
              <w:t>563.640,00</w:t>
            </w:r>
          </w:p>
          <w:p w14:paraId="522F128F" w14:textId="77777777" w:rsidR="006850C6" w:rsidRPr="0031208D" w:rsidRDefault="006850C6" w:rsidP="006850C6">
            <w:pPr>
              <w:pStyle w:val="Personnequisigne"/>
            </w:pPr>
          </w:p>
          <w:p w14:paraId="53F016D7" w14:textId="766D5634" w:rsidR="006850C6" w:rsidRPr="0031208D" w:rsidRDefault="006850C6" w:rsidP="006850C6">
            <w:pPr>
              <w:pStyle w:val="Institutionquisigne"/>
            </w:pPr>
          </w:p>
        </w:tc>
        <w:tc>
          <w:tcPr>
            <w:tcW w:w="1497" w:type="dxa"/>
            <w:vAlign w:val="bottom"/>
          </w:tcPr>
          <w:p w14:paraId="41E989BF" w14:textId="77777777" w:rsidR="00BC4F78" w:rsidRPr="0031208D" w:rsidRDefault="003F712B" w:rsidP="00BC4F78">
            <w:pPr>
              <w:pStyle w:val="Institutionquisigne"/>
              <w:spacing w:before="0"/>
              <w:jc w:val="center"/>
              <w:rPr>
                <w:i w:val="0"/>
                <w:noProof/>
                <w:sz w:val="20"/>
                <w:szCs w:val="20"/>
              </w:rPr>
            </w:pPr>
            <w:r w:rsidRPr="0031208D">
              <w:rPr>
                <w:i w:val="0"/>
                <w:noProof/>
                <w:sz w:val="20"/>
                <w:szCs w:val="20"/>
              </w:rPr>
              <w:t>86.964,00</w:t>
            </w:r>
          </w:p>
          <w:p w14:paraId="01001B5F" w14:textId="77777777" w:rsidR="006850C6" w:rsidRPr="0031208D" w:rsidRDefault="006850C6" w:rsidP="006850C6">
            <w:pPr>
              <w:pStyle w:val="Personnequisigne"/>
            </w:pPr>
          </w:p>
          <w:p w14:paraId="3CA92586" w14:textId="412225D2" w:rsidR="006850C6" w:rsidRPr="0031208D" w:rsidRDefault="006850C6" w:rsidP="006850C6">
            <w:pPr>
              <w:pStyle w:val="Institutionquisigne"/>
            </w:pPr>
          </w:p>
        </w:tc>
      </w:tr>
      <w:tr w:rsidR="0031208D" w:rsidRPr="0031208D" w14:paraId="40A8FA22" w14:textId="77777777" w:rsidTr="001C6967">
        <w:trPr>
          <w:trHeight w:val="255"/>
        </w:trPr>
        <w:tc>
          <w:tcPr>
            <w:tcW w:w="704" w:type="dxa"/>
            <w:vAlign w:val="center"/>
          </w:tcPr>
          <w:p w14:paraId="4BAB9A5C" w14:textId="51C188AC" w:rsidR="00BC4F78" w:rsidRPr="0031208D" w:rsidRDefault="00BC4F78" w:rsidP="00BC4F78">
            <w:pPr>
              <w:pStyle w:val="Institutionquisigne"/>
              <w:spacing w:before="0"/>
              <w:jc w:val="center"/>
              <w:rPr>
                <w:i w:val="0"/>
                <w:noProof/>
                <w:sz w:val="20"/>
                <w:szCs w:val="20"/>
              </w:rPr>
            </w:pPr>
            <w:r w:rsidRPr="0031208D">
              <w:rPr>
                <w:i w:val="0"/>
                <w:noProof/>
                <w:sz w:val="20"/>
                <w:szCs w:val="20"/>
              </w:rPr>
              <w:t>SO2</w:t>
            </w:r>
          </w:p>
        </w:tc>
        <w:tc>
          <w:tcPr>
            <w:tcW w:w="1276" w:type="dxa"/>
            <w:vAlign w:val="center"/>
          </w:tcPr>
          <w:p w14:paraId="397F225C" w14:textId="55CA31E0" w:rsidR="00726B4C" w:rsidRPr="0031208D" w:rsidRDefault="00726B4C" w:rsidP="00BC4F78">
            <w:pPr>
              <w:pStyle w:val="Institutionquisigne"/>
              <w:spacing w:before="0"/>
              <w:jc w:val="center"/>
              <w:rPr>
                <w:i w:val="0"/>
                <w:noProof/>
                <w:sz w:val="20"/>
                <w:szCs w:val="20"/>
              </w:rPr>
            </w:pPr>
            <w:r w:rsidRPr="0031208D">
              <w:rPr>
                <w:i w:val="0"/>
                <w:noProof/>
                <w:sz w:val="20"/>
                <w:szCs w:val="20"/>
              </w:rPr>
              <w:t>B.SO2.1.6-01A</w:t>
            </w:r>
          </w:p>
          <w:p w14:paraId="114D99E9" w14:textId="53889313" w:rsidR="00BC4F78" w:rsidRPr="0031208D" w:rsidRDefault="00BC4F78" w:rsidP="00BC4F78">
            <w:pPr>
              <w:pStyle w:val="Institutionquisigne"/>
              <w:spacing w:before="0"/>
              <w:jc w:val="center"/>
              <w:rPr>
                <w:i w:val="0"/>
                <w:noProof/>
                <w:sz w:val="20"/>
                <w:szCs w:val="20"/>
              </w:rPr>
            </w:pPr>
            <w:r w:rsidRPr="0031208D">
              <w:rPr>
                <w:i w:val="0"/>
                <w:noProof/>
                <w:sz w:val="20"/>
                <w:szCs w:val="20"/>
              </w:rPr>
              <w:t>Nakup in vzdrževanje programskih komponent nacionalnega vizumskega informacijskega sistema</w:t>
            </w:r>
          </w:p>
        </w:tc>
        <w:tc>
          <w:tcPr>
            <w:tcW w:w="1134" w:type="dxa"/>
            <w:vAlign w:val="center"/>
          </w:tcPr>
          <w:p w14:paraId="691634FE" w14:textId="4DDA122D" w:rsidR="00BC4F78" w:rsidRPr="0031208D" w:rsidRDefault="00BC4F78" w:rsidP="00BC4F78">
            <w:pPr>
              <w:pStyle w:val="Institutionquisigne"/>
              <w:spacing w:before="0"/>
              <w:jc w:val="center"/>
              <w:rPr>
                <w:i w:val="0"/>
                <w:noProof/>
                <w:sz w:val="20"/>
                <w:szCs w:val="20"/>
              </w:rPr>
            </w:pPr>
            <w:r w:rsidRPr="0031208D">
              <w:rPr>
                <w:i w:val="0"/>
                <w:noProof/>
                <w:sz w:val="20"/>
                <w:szCs w:val="20"/>
              </w:rPr>
              <w:t>Ministr</w:t>
            </w:r>
            <w:r w:rsidR="009129F4">
              <w:rPr>
                <w:i w:val="0"/>
                <w:noProof/>
                <w:sz w:val="20"/>
                <w:szCs w:val="20"/>
              </w:rPr>
              <w:t>st</w:t>
            </w:r>
            <w:r w:rsidRPr="0031208D">
              <w:rPr>
                <w:i w:val="0"/>
                <w:noProof/>
                <w:sz w:val="20"/>
                <w:szCs w:val="20"/>
              </w:rPr>
              <w:t>vo za zunanje in evropske zadeve</w:t>
            </w:r>
          </w:p>
        </w:tc>
        <w:tc>
          <w:tcPr>
            <w:tcW w:w="1417" w:type="dxa"/>
            <w:vAlign w:val="center"/>
          </w:tcPr>
          <w:p w14:paraId="13FBDAB4" w14:textId="1A1B62D8" w:rsidR="00BC4F78" w:rsidRPr="0031208D" w:rsidRDefault="00BC4F78" w:rsidP="00BC4F78">
            <w:pPr>
              <w:pStyle w:val="Institutionquisigne"/>
              <w:spacing w:before="0"/>
              <w:jc w:val="center"/>
              <w:rPr>
                <w:i w:val="0"/>
                <w:noProof/>
                <w:sz w:val="20"/>
                <w:szCs w:val="20"/>
              </w:rPr>
            </w:pPr>
            <w:r w:rsidRPr="0031208D">
              <w:rPr>
                <w:i w:val="0"/>
                <w:noProof/>
                <w:sz w:val="20"/>
                <w:szCs w:val="20"/>
              </w:rPr>
              <w:t>Obsežni informacijski sistemi - VIS</w:t>
            </w:r>
          </w:p>
        </w:tc>
        <w:tc>
          <w:tcPr>
            <w:tcW w:w="1276" w:type="dxa"/>
            <w:vAlign w:val="center"/>
          </w:tcPr>
          <w:p w14:paraId="4001EA7B" w14:textId="27ABBC6E" w:rsidR="00BC4F78" w:rsidRPr="0031208D" w:rsidRDefault="00BC4F78" w:rsidP="00BC4F78">
            <w:pPr>
              <w:pStyle w:val="Institutionquisigne"/>
              <w:spacing w:before="0"/>
              <w:jc w:val="center"/>
              <w:rPr>
                <w:i w:val="0"/>
                <w:noProof/>
                <w:sz w:val="20"/>
                <w:szCs w:val="20"/>
              </w:rPr>
            </w:pPr>
            <w:r w:rsidRPr="0031208D">
              <w:rPr>
                <w:i w:val="0"/>
                <w:noProof/>
                <w:sz w:val="20"/>
                <w:szCs w:val="20"/>
              </w:rPr>
              <w:t>2023-2029</w:t>
            </w:r>
          </w:p>
        </w:tc>
        <w:tc>
          <w:tcPr>
            <w:tcW w:w="709" w:type="dxa"/>
            <w:vAlign w:val="center"/>
          </w:tcPr>
          <w:p w14:paraId="248D4847" w14:textId="02689823" w:rsidR="00BC4F78" w:rsidRPr="0031208D" w:rsidRDefault="00BC4F78" w:rsidP="00BC4F78">
            <w:pPr>
              <w:pStyle w:val="Institutionquisigne"/>
              <w:spacing w:before="0"/>
              <w:jc w:val="center"/>
              <w:rPr>
                <w:i w:val="0"/>
                <w:noProof/>
                <w:sz w:val="20"/>
                <w:szCs w:val="20"/>
              </w:rPr>
            </w:pPr>
            <w:r w:rsidRPr="0031208D">
              <w:rPr>
                <w:i w:val="0"/>
                <w:noProof/>
                <w:sz w:val="20"/>
                <w:szCs w:val="20"/>
              </w:rPr>
              <w:t>75 %</w:t>
            </w:r>
          </w:p>
        </w:tc>
        <w:tc>
          <w:tcPr>
            <w:tcW w:w="1276" w:type="dxa"/>
            <w:vAlign w:val="center"/>
          </w:tcPr>
          <w:p w14:paraId="5B1A8C3B" w14:textId="01A137D5" w:rsidR="00BC4F78" w:rsidRPr="0031208D" w:rsidRDefault="00BC4F78" w:rsidP="00BC4F78">
            <w:pPr>
              <w:pStyle w:val="Institutionquisigne"/>
              <w:spacing w:before="0"/>
              <w:jc w:val="center"/>
              <w:rPr>
                <w:i w:val="0"/>
                <w:noProof/>
                <w:sz w:val="20"/>
                <w:szCs w:val="20"/>
              </w:rPr>
            </w:pPr>
            <w:r w:rsidRPr="0031208D">
              <w:rPr>
                <w:i w:val="0"/>
                <w:noProof/>
                <w:sz w:val="20"/>
                <w:szCs w:val="20"/>
              </w:rPr>
              <w:t>7.166.666,67</w:t>
            </w:r>
          </w:p>
        </w:tc>
        <w:tc>
          <w:tcPr>
            <w:tcW w:w="1497" w:type="dxa"/>
            <w:vAlign w:val="center"/>
          </w:tcPr>
          <w:p w14:paraId="2482955E" w14:textId="4767160C" w:rsidR="00BC4F78" w:rsidRPr="0031208D" w:rsidRDefault="004462E4" w:rsidP="00BC4F78">
            <w:pPr>
              <w:pStyle w:val="Institutionquisigne"/>
              <w:spacing w:before="0"/>
              <w:jc w:val="center"/>
              <w:rPr>
                <w:i w:val="0"/>
                <w:noProof/>
                <w:sz w:val="20"/>
                <w:szCs w:val="20"/>
              </w:rPr>
            </w:pPr>
            <w:r>
              <w:rPr>
                <w:i w:val="0"/>
                <w:noProof/>
                <w:sz w:val="20"/>
                <w:szCs w:val="20"/>
              </w:rPr>
              <w:t>556.431,03</w:t>
            </w:r>
          </w:p>
        </w:tc>
      </w:tr>
    </w:tbl>
    <w:p w14:paraId="50D4A3C7" w14:textId="77777777" w:rsidR="00AD502C" w:rsidRPr="0031208D" w:rsidRDefault="001C1609" w:rsidP="001C1609">
      <w:pPr>
        <w:pStyle w:val="ManualHeading2"/>
        <w:rPr>
          <w:noProof/>
          <w:sz w:val="22"/>
        </w:rPr>
      </w:pPr>
      <w:r w:rsidRPr="0031208D">
        <w:rPr>
          <w:sz w:val="22"/>
        </w:rPr>
        <w:t>2.3.</w:t>
      </w:r>
      <w:r w:rsidRPr="0031208D">
        <w:rPr>
          <w:sz w:val="22"/>
        </w:rPr>
        <w:tab/>
      </w:r>
      <w:r w:rsidR="00AD502C" w:rsidRPr="0031208D">
        <w:rPr>
          <w:noProof/>
          <w:sz w:val="22"/>
        </w:rPr>
        <w:t>Večletni načrti za nakup opreme – člen 13(14), točka (d), Uredbe (EU) 2021/1148</w:t>
      </w:r>
    </w:p>
    <w:p w14:paraId="089BFC29" w14:textId="77777777" w:rsidR="00AD502C" w:rsidRPr="0031208D" w:rsidRDefault="00F12B44" w:rsidP="00AD502C">
      <w:pPr>
        <w:rPr>
          <w:noProof/>
          <w:sz w:val="22"/>
        </w:rPr>
      </w:pPr>
      <w:r w:rsidRPr="0031208D">
        <w:rPr>
          <w:noProof/>
          <w:sz w:val="22"/>
        </w:rPr>
        <w:lastRenderedPageBreak/>
        <w:t xml:space="preserve">Navedite večletne načrte za pričakovani nakup opreme v okviru Instrumenta. </w:t>
      </w:r>
    </w:p>
    <w:tbl>
      <w:tblPr>
        <w:tblStyle w:val="Tabelamrea"/>
        <w:tblW w:w="0" w:type="auto"/>
        <w:tblLook w:val="04A0" w:firstRow="1" w:lastRow="0" w:firstColumn="1" w:lastColumn="0" w:noHBand="0" w:noVBand="1"/>
      </w:tblPr>
      <w:tblGrid>
        <w:gridCol w:w="9063"/>
      </w:tblGrid>
      <w:tr w:rsidR="0031208D" w:rsidRPr="0031208D" w14:paraId="6541DEFC" w14:textId="77777777" w:rsidTr="00E45665">
        <w:tc>
          <w:tcPr>
            <w:tcW w:w="9289" w:type="dxa"/>
          </w:tcPr>
          <w:p w14:paraId="1CBBB213" w14:textId="77777777" w:rsidR="00D15FD4" w:rsidRPr="0031208D" w:rsidRDefault="00D15FD4" w:rsidP="00D15FD4">
            <w:pPr>
              <w:rPr>
                <w:sz w:val="22"/>
              </w:rPr>
            </w:pPr>
            <w:r w:rsidRPr="0031208D">
              <w:rPr>
                <w:sz w:val="22"/>
              </w:rPr>
              <w:t>Slovenija v zadevnem obračunskem obdobju še ni pričela z izvajanjem aktivnosti v okviru ukrepov programa IUMV za nakup opreme iz člena 13(14)(d) Uredbe (EU) 2021/1148. Poročanje se zato nanaša na načrtovane zmogljivosti in investicije, kot so opredeljene v Nacionalnem načrtu zmogljivosti (NCP).</w:t>
            </w:r>
          </w:p>
          <w:p w14:paraId="67AB3B52" w14:textId="77777777" w:rsidR="00D15FD4" w:rsidRPr="0031208D" w:rsidRDefault="00D15FD4" w:rsidP="00D15FD4">
            <w:pPr>
              <w:rPr>
                <w:sz w:val="22"/>
              </w:rPr>
            </w:pPr>
            <w:r w:rsidRPr="0031208D">
              <w:rPr>
                <w:sz w:val="22"/>
              </w:rPr>
              <w:t>V skladu z NCP Slovenija načrtuje postopno nadgradnjo tehničnih zmogljivosti, ki bodo dane na razpolago Evropski agenciji za mejno in obalno stražo (Frontex), z namenom prispevati k skupnemu evropskemu sistemu upravljanja zunanjih meja. Načrtovane zmogljivosti vključujejo:</w:t>
            </w:r>
          </w:p>
          <w:p w14:paraId="2F0FB060" w14:textId="77777777" w:rsidR="00D15FD4" w:rsidRPr="0031208D" w:rsidRDefault="00D15FD4" w:rsidP="00D15FD4">
            <w:pPr>
              <w:numPr>
                <w:ilvl w:val="0"/>
                <w:numId w:val="44"/>
              </w:numPr>
              <w:tabs>
                <w:tab w:val="num" w:pos="720"/>
              </w:tabs>
              <w:rPr>
                <w:sz w:val="22"/>
              </w:rPr>
            </w:pPr>
            <w:r w:rsidRPr="0031208D">
              <w:rPr>
                <w:sz w:val="22"/>
              </w:rPr>
              <w:t>20 vozil za nadzor meje in patruljiranje, od katerih 10 predstavlja zamenjavo obstoječih zastarelih zmogljivosti,</w:t>
            </w:r>
          </w:p>
          <w:p w14:paraId="07EE28D2" w14:textId="77777777" w:rsidR="00D15FD4" w:rsidRPr="0031208D" w:rsidRDefault="00D15FD4" w:rsidP="00D15FD4">
            <w:pPr>
              <w:numPr>
                <w:ilvl w:val="0"/>
                <w:numId w:val="44"/>
              </w:numPr>
              <w:tabs>
                <w:tab w:val="num" w:pos="720"/>
              </w:tabs>
              <w:rPr>
                <w:sz w:val="22"/>
              </w:rPr>
            </w:pPr>
            <w:r w:rsidRPr="0031208D">
              <w:rPr>
                <w:sz w:val="22"/>
              </w:rPr>
              <w:t>1 ročno termovizijsko napravo (zamenjava obstoječe),</w:t>
            </w:r>
          </w:p>
          <w:p w14:paraId="56A0C0E0" w14:textId="77777777" w:rsidR="00D15FD4" w:rsidRPr="0031208D" w:rsidRDefault="00D15FD4" w:rsidP="00D15FD4">
            <w:pPr>
              <w:numPr>
                <w:ilvl w:val="0"/>
                <w:numId w:val="44"/>
              </w:numPr>
              <w:tabs>
                <w:tab w:val="num" w:pos="720"/>
              </w:tabs>
              <w:rPr>
                <w:sz w:val="22"/>
              </w:rPr>
            </w:pPr>
            <w:r w:rsidRPr="0031208D">
              <w:rPr>
                <w:sz w:val="22"/>
              </w:rPr>
              <w:t>1 mobilno termovizijsko enoto.</w:t>
            </w:r>
          </w:p>
          <w:p w14:paraId="7014413E" w14:textId="70D5E2E6" w:rsidR="00D15FD4" w:rsidRPr="0031208D" w:rsidRDefault="00D15FD4" w:rsidP="00D15FD4">
            <w:pPr>
              <w:rPr>
                <w:sz w:val="22"/>
              </w:rPr>
            </w:pPr>
            <w:r w:rsidRPr="0031208D">
              <w:rPr>
                <w:sz w:val="22"/>
              </w:rPr>
              <w:t>Te investicije prispevajo k ciljem NCP ter krepijo nacionalne in evropske zmogljivosti za nadzor zunanjih meja.</w:t>
            </w:r>
          </w:p>
          <w:p w14:paraId="2F78B1EA" w14:textId="77777777" w:rsidR="00D15FD4" w:rsidRPr="0031208D" w:rsidRDefault="00D15FD4" w:rsidP="00D15FD4">
            <w:pPr>
              <w:numPr>
                <w:ilvl w:val="0"/>
                <w:numId w:val="45"/>
              </w:numPr>
              <w:tabs>
                <w:tab w:val="clear" w:pos="360"/>
                <w:tab w:val="num" w:pos="720"/>
              </w:tabs>
              <w:rPr>
                <w:sz w:val="22"/>
              </w:rPr>
            </w:pPr>
            <w:r w:rsidRPr="0031208D">
              <w:rPr>
                <w:sz w:val="22"/>
              </w:rPr>
              <w:t>javno naročilo za prvih 10 vozil je bilo zaključeno v obdobju poročanja, pri čemer so bila 3 vozila dobavljena v zadnjem mesecu obdobja poročanja, ostala pa po zaključku tega obdobja,</w:t>
            </w:r>
          </w:p>
          <w:p w14:paraId="444E274A" w14:textId="306AB529" w:rsidR="00D15FD4" w:rsidRPr="0031208D" w:rsidRDefault="00D15FD4" w:rsidP="00D15FD4">
            <w:pPr>
              <w:numPr>
                <w:ilvl w:val="0"/>
                <w:numId w:val="45"/>
              </w:numPr>
              <w:rPr>
                <w:sz w:val="22"/>
              </w:rPr>
            </w:pPr>
            <w:r w:rsidRPr="0031208D">
              <w:rPr>
                <w:sz w:val="22"/>
              </w:rPr>
              <w:t>nabava preostale opreme je načrtovana za leto 2026, v skladu s časovnico izvajanja</w:t>
            </w:r>
            <w:r w:rsidR="00585536" w:rsidRPr="0031208D">
              <w:rPr>
                <w:sz w:val="22"/>
              </w:rPr>
              <w:t>.</w:t>
            </w:r>
          </w:p>
          <w:p w14:paraId="05460E17" w14:textId="77777777" w:rsidR="00D15FD4" w:rsidRPr="0031208D" w:rsidRDefault="00D15FD4" w:rsidP="00D15FD4">
            <w:pPr>
              <w:rPr>
                <w:sz w:val="22"/>
              </w:rPr>
            </w:pPr>
            <w:r w:rsidRPr="0031208D">
              <w:rPr>
                <w:sz w:val="22"/>
              </w:rPr>
              <w:t>Načrtovane investicije so usklajene z zahtevami Frontex glede tehničnih standardov in bodo po pridobitvi vključene v nabor tehnične opreme (</w:t>
            </w:r>
            <w:proofErr w:type="spellStart"/>
            <w:r w:rsidRPr="0031208D">
              <w:rPr>
                <w:sz w:val="22"/>
              </w:rPr>
              <w:t>Technical</w:t>
            </w:r>
            <w:proofErr w:type="spellEnd"/>
            <w:r w:rsidRPr="0031208D">
              <w:rPr>
                <w:sz w:val="22"/>
              </w:rPr>
              <w:t xml:space="preserve"> </w:t>
            </w:r>
            <w:proofErr w:type="spellStart"/>
            <w:r w:rsidRPr="0031208D">
              <w:rPr>
                <w:sz w:val="22"/>
              </w:rPr>
              <w:t>Equipment</w:t>
            </w:r>
            <w:proofErr w:type="spellEnd"/>
            <w:r w:rsidRPr="0031208D">
              <w:rPr>
                <w:sz w:val="22"/>
              </w:rPr>
              <w:t xml:space="preserve"> </w:t>
            </w:r>
            <w:proofErr w:type="spellStart"/>
            <w:r w:rsidRPr="0031208D">
              <w:rPr>
                <w:sz w:val="22"/>
              </w:rPr>
              <w:t>Pool</w:t>
            </w:r>
            <w:proofErr w:type="spellEnd"/>
            <w:r w:rsidRPr="0031208D">
              <w:rPr>
                <w:sz w:val="22"/>
              </w:rPr>
              <w:t>), kar bo omogočilo njihovo uporabo v skupnih operacijah na ravni EU.</w:t>
            </w:r>
          </w:p>
          <w:p w14:paraId="2F26240D" w14:textId="438692D4" w:rsidR="00C24DA2" w:rsidRPr="0031208D" w:rsidRDefault="00C24DA2" w:rsidP="00C965F8">
            <w:pPr>
              <w:pStyle w:val="Personnequisigne"/>
              <w:jc w:val="both"/>
              <w:rPr>
                <w:i w:val="0"/>
                <w:noProof/>
                <w:sz w:val="22"/>
              </w:rPr>
            </w:pPr>
          </w:p>
        </w:tc>
      </w:tr>
    </w:tbl>
    <w:p w14:paraId="2B1468B4" w14:textId="77777777" w:rsidR="00AD502C" w:rsidRPr="0031208D" w:rsidRDefault="001C1609" w:rsidP="001C1609">
      <w:pPr>
        <w:pStyle w:val="ManualHeading1"/>
        <w:rPr>
          <w:noProof/>
          <w:sz w:val="22"/>
        </w:rPr>
      </w:pPr>
      <w:r w:rsidRPr="0031208D">
        <w:rPr>
          <w:sz w:val="22"/>
        </w:rPr>
        <w:t>3.</w:t>
      </w:r>
      <w:r w:rsidRPr="0031208D">
        <w:rPr>
          <w:sz w:val="22"/>
        </w:rPr>
        <w:tab/>
      </w:r>
      <w:r w:rsidR="00AD502C" w:rsidRPr="0031208D">
        <w:rPr>
          <w:noProof/>
          <w:sz w:val="22"/>
        </w:rPr>
        <w:t>Izvajanje pravnega reda Unije – člen 29(2), točka (d), Uredbe (EU) 2021/1148</w:t>
      </w:r>
    </w:p>
    <w:p w14:paraId="49017E3B" w14:textId="77777777" w:rsidR="00AD502C" w:rsidRPr="0031208D" w:rsidRDefault="00F12B44" w:rsidP="00AD502C">
      <w:pPr>
        <w:rPr>
          <w:noProof/>
          <w:sz w:val="22"/>
        </w:rPr>
      </w:pPr>
      <w:r w:rsidRPr="0031208D">
        <w:rPr>
          <w:noProof/>
          <w:sz w:val="22"/>
        </w:rPr>
        <w:t>Na kratko opišite, kako je program med obračunskim letom prispeval k izvajanju ustreznega pravnega reda Unije (prava Unije), zlasti o schengenskem območju, upravljanju meja in vizumski politiki, ter k vsem ustreznim akcijskim načrtom.</w:t>
      </w:r>
    </w:p>
    <w:tbl>
      <w:tblPr>
        <w:tblStyle w:val="Tabelamrea"/>
        <w:tblW w:w="0" w:type="auto"/>
        <w:tblLook w:val="04A0" w:firstRow="1" w:lastRow="0" w:firstColumn="1" w:lastColumn="0" w:noHBand="0" w:noVBand="1"/>
      </w:tblPr>
      <w:tblGrid>
        <w:gridCol w:w="9063"/>
      </w:tblGrid>
      <w:tr w:rsidR="0031208D" w:rsidRPr="0031208D" w14:paraId="6DC6B501" w14:textId="77777777" w:rsidTr="00CF74E9">
        <w:tc>
          <w:tcPr>
            <w:tcW w:w="9289" w:type="dxa"/>
          </w:tcPr>
          <w:p w14:paraId="1BE65A15" w14:textId="09ABB5E1" w:rsidR="00017304" w:rsidRPr="0031208D" w:rsidRDefault="00017304" w:rsidP="00B9780A">
            <w:pPr>
              <w:spacing w:before="100" w:beforeAutospacing="1" w:after="100" w:afterAutospacing="1"/>
              <w:rPr>
                <w:rFonts w:eastAsia="Times New Roman"/>
                <w:sz w:val="22"/>
                <w:lang w:eastAsia="sl-SI"/>
              </w:rPr>
            </w:pPr>
            <w:r w:rsidRPr="0031208D">
              <w:rPr>
                <w:rFonts w:eastAsia="Times New Roman"/>
                <w:sz w:val="22"/>
                <w:lang w:eastAsia="sl-SI"/>
              </w:rPr>
              <w:t xml:space="preserve">Operacije v okviru </w:t>
            </w:r>
            <w:r w:rsidRPr="0031208D">
              <w:rPr>
                <w:rFonts w:eastAsia="Times New Roman"/>
                <w:b/>
                <w:bCs/>
                <w:sz w:val="22"/>
                <w:lang w:eastAsia="sl-SI"/>
              </w:rPr>
              <w:t>Specifičnega cilja 1</w:t>
            </w:r>
            <w:r w:rsidRPr="0031208D">
              <w:rPr>
                <w:rFonts w:eastAsia="Times New Roman"/>
                <w:sz w:val="22"/>
                <w:lang w:eastAsia="sl-SI"/>
              </w:rPr>
              <w:t xml:space="preserve"> so v obračunskem letu neposredno prispevale k izvajanju pravnega reda Unije na področju schengenskega območja in upravljanja zunanjih meja. Aktivnosti Policije so se izvajale na podlagi nacionalne zakonodaje (Zakon o nalogah in pooblastilih Policije, Zakon o nadzoru državne meje, Kazenski zakonik (KZ-1), Zakon o kazenskem postopku (ZKP), Zakon o tujcih (ZTuj-2), Zakon o mednarodni zaščiti (ZMZ-1)) ter v skladu z veljavnim pravom EU. S tem je bilo zagotovljeno dosledno izvajanje Uredbe (EU) 2016/399 – Schengenski zakonik, ki določa pravila nadzora na zunanjih mejah, ter drugih povezanih aktov, pomembnih za varnost schengenskega območja.</w:t>
            </w:r>
          </w:p>
          <w:p w14:paraId="59BE7866" w14:textId="00EC49BC" w:rsidR="00017304" w:rsidRPr="0031208D" w:rsidRDefault="00017304" w:rsidP="00017304">
            <w:pPr>
              <w:spacing w:before="100" w:beforeAutospacing="1" w:after="100" w:afterAutospacing="1"/>
              <w:rPr>
                <w:rFonts w:eastAsia="Times New Roman"/>
                <w:sz w:val="22"/>
                <w:lang w:eastAsia="sl-SI"/>
              </w:rPr>
            </w:pPr>
            <w:r w:rsidRPr="0031208D">
              <w:rPr>
                <w:rFonts w:eastAsia="Times New Roman"/>
                <w:sz w:val="22"/>
                <w:lang w:eastAsia="sl-SI"/>
              </w:rPr>
              <w:t xml:space="preserve">Program je v poročevalnem obdobju podpiral izvajanje in nadgradnjo velikih informacijskih sistemov EU, zlasti Uredbe (EU) 2017/2226 – Sistem vstop/izstop (EES), Uredbe (EU) 2018/1240 – ETIAS, Uredb (EU) 2019/817 in 2019/818 – Interoperabilnost sistemov, Uredbe (EU) 2019/1896 – Evropska mejna in obalna straža, Uredbe (EU) 2022/922 – Mehanizem za preverjanje </w:t>
            </w:r>
            <w:proofErr w:type="spellStart"/>
            <w:r w:rsidRPr="0031208D">
              <w:rPr>
                <w:rFonts w:eastAsia="Times New Roman"/>
                <w:sz w:val="22"/>
                <w:lang w:eastAsia="sl-SI"/>
              </w:rPr>
              <w:t>Schengna</w:t>
            </w:r>
            <w:proofErr w:type="spellEnd"/>
            <w:r w:rsidRPr="0031208D">
              <w:rPr>
                <w:rFonts w:eastAsia="Times New Roman"/>
                <w:sz w:val="22"/>
                <w:lang w:eastAsia="sl-SI"/>
              </w:rPr>
              <w:t xml:space="preserve"> ter Uredbe (ES) 767/2008 – Vizumski informacijski sistem (VIS). S financiranjem informacijske infrastrukture, biometrične opreme in tehničnih nadgradenj je bila okrepljena interoperabilnost sistemov ter zagotovljena skladnost z zahtevami </w:t>
            </w:r>
            <w:proofErr w:type="spellStart"/>
            <w:r w:rsidRPr="0031208D">
              <w:rPr>
                <w:rFonts w:eastAsia="Times New Roman"/>
                <w:sz w:val="22"/>
                <w:lang w:eastAsia="sl-SI"/>
              </w:rPr>
              <w:t>eu</w:t>
            </w:r>
            <w:proofErr w:type="spellEnd"/>
            <w:r w:rsidRPr="0031208D">
              <w:rPr>
                <w:rFonts w:eastAsia="Times New Roman"/>
                <w:sz w:val="22"/>
                <w:lang w:eastAsia="sl-SI"/>
              </w:rPr>
              <w:t>-LISA glede upravljanja velikih IT-sistemov.</w:t>
            </w:r>
          </w:p>
          <w:p w14:paraId="7B1DC501" w14:textId="77777777" w:rsidR="00017304" w:rsidRPr="0031208D" w:rsidRDefault="00017304" w:rsidP="00017304">
            <w:pPr>
              <w:spacing w:before="100" w:beforeAutospacing="1" w:after="100" w:afterAutospacing="1"/>
              <w:rPr>
                <w:rFonts w:eastAsia="Times New Roman"/>
                <w:sz w:val="22"/>
                <w:lang w:eastAsia="sl-SI"/>
              </w:rPr>
            </w:pPr>
            <w:r w:rsidRPr="0031208D">
              <w:rPr>
                <w:rFonts w:eastAsia="Times New Roman"/>
                <w:sz w:val="22"/>
                <w:lang w:eastAsia="sl-SI"/>
              </w:rPr>
              <w:lastRenderedPageBreak/>
              <w:t>S tem je program pomembno prispeval tudi k izvajanju priporočil schengenskih evalvacij in ocen ranljivosti ter k uresničevanju ustreznih akcijskih načrtov EU na področju krepitve schengenskega območja in upravljanja meja.</w:t>
            </w:r>
          </w:p>
          <w:p w14:paraId="401BC368" w14:textId="77777777" w:rsidR="00017304" w:rsidRPr="0031208D" w:rsidRDefault="00017304" w:rsidP="00017304">
            <w:pPr>
              <w:spacing w:before="100" w:beforeAutospacing="1" w:after="100" w:afterAutospacing="1"/>
              <w:rPr>
                <w:rFonts w:eastAsia="Times New Roman"/>
                <w:sz w:val="22"/>
                <w:lang w:eastAsia="sl-SI"/>
              </w:rPr>
            </w:pPr>
            <w:r w:rsidRPr="0031208D">
              <w:rPr>
                <w:rFonts w:eastAsia="Times New Roman"/>
                <w:sz w:val="22"/>
                <w:lang w:eastAsia="sl-SI"/>
              </w:rPr>
              <w:t xml:space="preserve">V okviru </w:t>
            </w:r>
            <w:r w:rsidRPr="0031208D">
              <w:rPr>
                <w:rFonts w:eastAsia="Times New Roman"/>
                <w:b/>
                <w:bCs/>
                <w:sz w:val="22"/>
                <w:lang w:eastAsia="sl-SI"/>
              </w:rPr>
              <w:t>Specifičnega cilja 2</w:t>
            </w:r>
            <w:r w:rsidRPr="0031208D">
              <w:rPr>
                <w:rFonts w:eastAsia="Times New Roman"/>
                <w:sz w:val="22"/>
                <w:lang w:eastAsia="sl-SI"/>
              </w:rPr>
              <w:t xml:space="preserve"> je program prispeval k učinkovitemu izvajanju skupne vizumske politike EU. Aktivnosti Ministrstva za zunanje in evropske zadeve (MZEZ) so potekale na podlagi Zakona o tujcih (ZTuj-2) in Uredbe o plačah in drugih prejemkih javnih uslužbencev za delo v tujini ter v skladu z relevantnimi pravnimi akti EU: Uredbo (EU) 810/2009 – Vizumski zakonik, Uredbo (EU) 2016/399 – Schengenski zakonik, Uredbo (EU) 2017/2226 – Sistem vstop/izstop, Uredbo (EU) 2018/1240 – ETIAS ter Uredbo (ES) št. 767/2008 – Vizumski informacijski sistem (VIS).</w:t>
            </w:r>
          </w:p>
          <w:p w14:paraId="042432FE" w14:textId="230F1064" w:rsidR="00017304" w:rsidRPr="0031208D" w:rsidRDefault="00017304" w:rsidP="00017304">
            <w:pPr>
              <w:spacing w:before="100" w:beforeAutospacing="1" w:after="100" w:afterAutospacing="1"/>
              <w:rPr>
                <w:rFonts w:eastAsia="Times New Roman"/>
                <w:sz w:val="22"/>
                <w:lang w:eastAsia="sl-SI"/>
              </w:rPr>
            </w:pPr>
            <w:r w:rsidRPr="0031208D">
              <w:rPr>
                <w:rFonts w:eastAsia="Times New Roman"/>
                <w:sz w:val="22"/>
                <w:lang w:eastAsia="sl-SI"/>
              </w:rPr>
              <w:t xml:space="preserve">V obračunskem letu so bile izvedene aktivnosti za nadaljnjo digitalizacijo vizumskih postopkov, nadgradnjo in povezovanje sistemov VIS z EES ter za zagotavljanje interoperabilnosti, kar prispeva k varnosti, preglednosti in učinkovitosti postopkov. Program je omogočil tudi vlaganja v konzularno </w:t>
            </w:r>
            <w:r w:rsidR="00AF1B5B">
              <w:rPr>
                <w:rFonts w:eastAsia="Times New Roman"/>
                <w:sz w:val="22"/>
                <w:lang w:eastAsia="sl-SI"/>
              </w:rPr>
              <w:t xml:space="preserve">opremo in </w:t>
            </w:r>
            <w:r w:rsidRPr="0031208D">
              <w:rPr>
                <w:rFonts w:eastAsia="Times New Roman"/>
                <w:sz w:val="22"/>
                <w:lang w:eastAsia="sl-SI"/>
              </w:rPr>
              <w:t>infrastruktur</w:t>
            </w:r>
            <w:r w:rsidR="00AF1B5B">
              <w:rPr>
                <w:rFonts w:eastAsia="Times New Roman"/>
                <w:sz w:val="22"/>
                <w:lang w:eastAsia="sl-SI"/>
              </w:rPr>
              <w:t>n</w:t>
            </w:r>
            <w:r w:rsidRPr="0031208D">
              <w:rPr>
                <w:rFonts w:eastAsia="Times New Roman"/>
                <w:sz w:val="22"/>
                <w:lang w:eastAsia="sl-SI"/>
              </w:rPr>
              <w:t>o</w:t>
            </w:r>
            <w:r w:rsidR="00AF1B5B">
              <w:rPr>
                <w:rFonts w:eastAsia="Times New Roman"/>
                <w:sz w:val="22"/>
                <w:lang w:eastAsia="sl-SI"/>
              </w:rPr>
              <w:t xml:space="preserve"> posodobitev</w:t>
            </w:r>
            <w:r w:rsidRPr="0031208D">
              <w:rPr>
                <w:rFonts w:eastAsia="Times New Roman"/>
                <w:sz w:val="22"/>
                <w:lang w:eastAsia="sl-SI"/>
              </w:rPr>
              <w:t>, varnost prostorov, zaščito osebja in varno hrambo vizumskih nalepk, s čimer se zagotavlja skladnost z varnostnimi standardi EU.</w:t>
            </w:r>
          </w:p>
          <w:p w14:paraId="7BC4F550" w14:textId="267DAF1F" w:rsidR="00017304" w:rsidRPr="0031208D" w:rsidRDefault="00017304" w:rsidP="00017304">
            <w:pPr>
              <w:spacing w:before="100" w:beforeAutospacing="1" w:after="100" w:afterAutospacing="1"/>
              <w:rPr>
                <w:rFonts w:eastAsia="Times New Roman"/>
                <w:sz w:val="22"/>
                <w:lang w:eastAsia="sl-SI"/>
              </w:rPr>
            </w:pPr>
            <w:r w:rsidRPr="0031208D">
              <w:rPr>
                <w:rFonts w:eastAsia="Times New Roman"/>
                <w:sz w:val="22"/>
                <w:lang w:eastAsia="sl-SI"/>
              </w:rPr>
              <w:t xml:space="preserve">Sredstva so bila namenjena tudi usposabljanju uslužbencev o pravnem redu EU, odkrivanju ponarejenih </w:t>
            </w:r>
            <w:r w:rsidR="00B72794">
              <w:rPr>
                <w:rFonts w:eastAsia="Times New Roman"/>
                <w:sz w:val="22"/>
                <w:lang w:eastAsia="sl-SI"/>
              </w:rPr>
              <w:t xml:space="preserve">in prenarejenih </w:t>
            </w:r>
            <w:r w:rsidRPr="0031208D">
              <w:rPr>
                <w:rFonts w:eastAsia="Times New Roman"/>
                <w:sz w:val="22"/>
                <w:lang w:eastAsia="sl-SI"/>
              </w:rPr>
              <w:t>listin ter uporabi novih informacijskih sistemov, kar neposredno podpira izvajanje skupnih pravil schengenskega območja in vizumske politike. Slovenija je v poročevalnem obdobju aktivno sodelovala v delovnih telesih EU ter izvajala operativne posledice priporočil schengenskih evalvacij, s čimer je program prispeval k uresničevanju ustreznih akcijskih načrtov Unije na področju meja, migracij in vizumske politike.</w:t>
            </w:r>
          </w:p>
          <w:p w14:paraId="3463A53C" w14:textId="157832EA" w:rsidR="00AD502C" w:rsidRPr="0031208D" w:rsidRDefault="00AD502C" w:rsidP="00017304">
            <w:pPr>
              <w:spacing w:before="100" w:beforeAutospacing="1" w:after="100" w:afterAutospacing="1"/>
              <w:ind w:left="720"/>
              <w:rPr>
                <w:rFonts w:eastAsia="Times New Roman"/>
                <w:sz w:val="22"/>
                <w:lang w:eastAsia="sl-SI"/>
              </w:rPr>
            </w:pPr>
          </w:p>
        </w:tc>
      </w:tr>
    </w:tbl>
    <w:p w14:paraId="7B1AC8C4" w14:textId="77777777" w:rsidR="00AD502C" w:rsidRPr="0031208D" w:rsidRDefault="001C1609" w:rsidP="001C1609">
      <w:pPr>
        <w:pStyle w:val="ManualHeading1"/>
        <w:rPr>
          <w:noProof/>
          <w:sz w:val="22"/>
        </w:rPr>
      </w:pPr>
      <w:r w:rsidRPr="0031208D">
        <w:rPr>
          <w:sz w:val="22"/>
        </w:rPr>
        <w:lastRenderedPageBreak/>
        <w:t>4.</w:t>
      </w:r>
      <w:r w:rsidRPr="0031208D">
        <w:rPr>
          <w:sz w:val="22"/>
        </w:rPr>
        <w:tab/>
      </w:r>
      <w:r w:rsidR="00AD502C" w:rsidRPr="0031208D">
        <w:rPr>
          <w:noProof/>
          <w:sz w:val="22"/>
        </w:rPr>
        <w:t>Komuniciranje in prepoznavnost – člen 29(2), točka (e), Uredbe (EU) 2021/1148</w:t>
      </w:r>
    </w:p>
    <w:p w14:paraId="4D950C80" w14:textId="77777777" w:rsidR="00AD502C" w:rsidRPr="0031208D" w:rsidRDefault="00F12B44" w:rsidP="00AD502C">
      <w:pPr>
        <w:rPr>
          <w:noProof/>
          <w:sz w:val="22"/>
        </w:rPr>
      </w:pPr>
      <w:r w:rsidRPr="0031208D">
        <w:rPr>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1"/>
        <w:tblW w:w="9063" w:type="dxa"/>
        <w:tblLook w:val="04A0" w:firstRow="1" w:lastRow="0" w:firstColumn="1" w:lastColumn="0" w:noHBand="0" w:noVBand="1"/>
      </w:tblPr>
      <w:tblGrid>
        <w:gridCol w:w="9063"/>
      </w:tblGrid>
      <w:tr w:rsidR="0031208D" w:rsidRPr="0031208D" w14:paraId="43E24E18" w14:textId="77777777" w:rsidTr="00F770B4">
        <w:tc>
          <w:tcPr>
            <w:tcW w:w="9063" w:type="dxa"/>
          </w:tcPr>
          <w:p w14:paraId="05604C1C" w14:textId="77777777" w:rsidR="00921778" w:rsidRPr="0031208D" w:rsidRDefault="00921778" w:rsidP="00921778">
            <w:pPr>
              <w:pStyle w:val="Personnequisigne"/>
              <w:jc w:val="both"/>
              <w:rPr>
                <w:i w:val="0"/>
                <w:sz w:val="22"/>
              </w:rPr>
            </w:pPr>
            <w:r w:rsidRPr="0031208D">
              <w:rPr>
                <w:i w:val="0"/>
                <w:sz w:val="22"/>
              </w:rPr>
              <w:t xml:space="preserve">Slovenija je v obračunskem obdobju poročanja sledila vzpostavljeni dobri praksi v zvezi s komunikacijskimi aktivnostmi za promocijo ukrepov financiranih iz programa IUMV. </w:t>
            </w:r>
          </w:p>
          <w:p w14:paraId="5A5478E1" w14:textId="77777777" w:rsidR="00921778" w:rsidRPr="0031208D" w:rsidRDefault="00921778" w:rsidP="00921778">
            <w:pPr>
              <w:tabs>
                <w:tab w:val="left" w:pos="4252"/>
              </w:tabs>
              <w:autoSpaceDE w:val="0"/>
              <w:autoSpaceDN w:val="0"/>
              <w:adjustRightInd w:val="0"/>
              <w:spacing w:before="0" w:after="0"/>
              <w:rPr>
                <w:sz w:val="22"/>
              </w:rPr>
            </w:pPr>
          </w:p>
          <w:p w14:paraId="75AE3E1B" w14:textId="77777777" w:rsidR="00921778" w:rsidRPr="0031208D" w:rsidRDefault="00921778" w:rsidP="00921778">
            <w:pPr>
              <w:tabs>
                <w:tab w:val="left" w:pos="4252"/>
              </w:tabs>
              <w:autoSpaceDE w:val="0"/>
              <w:autoSpaceDN w:val="0"/>
              <w:adjustRightInd w:val="0"/>
              <w:spacing w:before="0" w:after="0"/>
              <w:rPr>
                <w:sz w:val="22"/>
              </w:rPr>
            </w:pPr>
            <w:r w:rsidRPr="0031208D">
              <w:rPr>
                <w:sz w:val="22"/>
              </w:rPr>
              <w:t xml:space="preserve">Za promocijo možnosti, ki jih ponujajo EU skladi, je bilo načrtovanih 6 - </w:t>
            </w:r>
            <w:r w:rsidRPr="0031208D">
              <w:rPr>
                <w:b/>
                <w:bCs/>
                <w:sz w:val="22"/>
              </w:rPr>
              <w:t>Potujočih pisarn,</w:t>
            </w:r>
            <w:r w:rsidRPr="0031208D">
              <w:rPr>
                <w:sz w:val="22"/>
              </w:rPr>
              <w:t xml:space="preserve"> organiziranih v sodelovanju z lokalnimi skupnostnimi in promoviranih na spletu in socialnih omrežjih. IUMV smo predstavili na 3 - Postojna, Vinica in Ljubljana, udeležencev je bilo 50 do 100, odvisno od lokacije.</w:t>
            </w:r>
          </w:p>
          <w:p w14:paraId="38918101" w14:textId="77777777" w:rsidR="00921778" w:rsidRPr="0031208D" w:rsidRDefault="00921778" w:rsidP="00921778">
            <w:pPr>
              <w:tabs>
                <w:tab w:val="left" w:pos="4252"/>
              </w:tabs>
              <w:autoSpaceDE w:val="0"/>
              <w:autoSpaceDN w:val="0"/>
              <w:adjustRightInd w:val="0"/>
              <w:spacing w:before="0" w:after="0"/>
              <w:rPr>
                <w:sz w:val="22"/>
              </w:rPr>
            </w:pPr>
          </w:p>
          <w:p w14:paraId="410ECC1E" w14:textId="6D315C77" w:rsidR="00921778" w:rsidRPr="0031208D" w:rsidRDefault="00921778" w:rsidP="00921778">
            <w:pPr>
              <w:tabs>
                <w:tab w:val="left" w:pos="4252"/>
              </w:tabs>
              <w:autoSpaceDE w:val="0"/>
              <w:autoSpaceDN w:val="0"/>
              <w:adjustRightInd w:val="0"/>
              <w:spacing w:before="0" w:after="0"/>
              <w:rPr>
                <w:bCs/>
                <w:sz w:val="22"/>
              </w:rPr>
            </w:pPr>
            <w:r w:rsidRPr="0031208D">
              <w:rPr>
                <w:bCs/>
                <w:sz w:val="22"/>
              </w:rPr>
              <w:t xml:space="preserve">V letu 2025 smo nadaljevali s promocijsko akcijo </w:t>
            </w:r>
            <w:r w:rsidRPr="0031208D">
              <w:rPr>
                <w:b/>
                <w:sz w:val="22"/>
              </w:rPr>
              <w:t>»EU projekt, moj projekt 2025«</w:t>
            </w:r>
            <w:r w:rsidRPr="0031208D">
              <w:rPr>
                <w:bCs/>
                <w:sz w:val="22"/>
              </w:rPr>
              <w:t xml:space="preserve">, kjer je sodelovalo 20 projektov, (so)financiranih iz EU sredstev, izbran je bil zmagovalec in razglašen na dogodku o Dnevu Evrope. Na ravni IUMV je sodeloval </w:t>
            </w:r>
            <w:r w:rsidR="00142ACB" w:rsidRPr="0031208D">
              <w:rPr>
                <w:bCs/>
                <w:sz w:val="22"/>
              </w:rPr>
              <w:t>p</w:t>
            </w:r>
            <w:r w:rsidRPr="0031208D">
              <w:rPr>
                <w:bCs/>
                <w:sz w:val="22"/>
              </w:rPr>
              <w:t>rojekt za zagotovitev Schengenskih standardov. D</w:t>
            </w:r>
            <w:r w:rsidRPr="0031208D">
              <w:rPr>
                <w:sz w:val="22"/>
              </w:rPr>
              <w:t>ogodki so bili izvedeni v drugi polovici leta 2025, zato bodo predmet naslednjega poročanja.</w:t>
            </w:r>
          </w:p>
          <w:p w14:paraId="6FB9830C" w14:textId="4B37A991" w:rsidR="00921778" w:rsidRPr="0031208D" w:rsidRDefault="00921778" w:rsidP="00921778">
            <w:pPr>
              <w:autoSpaceDE w:val="0"/>
              <w:autoSpaceDN w:val="0"/>
              <w:adjustRightInd w:val="0"/>
              <w:spacing w:before="240" w:after="0"/>
              <w:rPr>
                <w:sz w:val="22"/>
              </w:rPr>
            </w:pPr>
            <w:r w:rsidRPr="0031208D">
              <w:rPr>
                <w:b/>
                <w:bCs/>
                <w:sz w:val="22"/>
              </w:rPr>
              <w:t>Obeležili smo Dan Evrope</w:t>
            </w:r>
            <w:r w:rsidRPr="0031208D">
              <w:rPr>
                <w:sz w:val="22"/>
              </w:rPr>
              <w:t>, 9.</w:t>
            </w:r>
            <w:r w:rsidR="00366B0F" w:rsidRPr="0031208D">
              <w:rPr>
                <w:sz w:val="22"/>
              </w:rPr>
              <w:t> </w:t>
            </w:r>
            <w:r w:rsidRPr="0031208D">
              <w:rPr>
                <w:sz w:val="22"/>
              </w:rPr>
              <w:t>5.</w:t>
            </w:r>
            <w:r w:rsidR="00366B0F" w:rsidRPr="0031208D">
              <w:rPr>
                <w:sz w:val="22"/>
              </w:rPr>
              <w:t> </w:t>
            </w:r>
            <w:r w:rsidRPr="0031208D">
              <w:rPr>
                <w:sz w:val="22"/>
              </w:rPr>
              <w:t>2025, dogodek na prostem, odprtega tipa za splošno in zainteresirano javnost, z nagovorom predsednice države, kjer so sodelovali vsi CPR skladi, IUMV so zastopali vodniki službenih policijskih psov in maskota policije Medved Leon.</w:t>
            </w:r>
          </w:p>
          <w:p w14:paraId="3AE54FA2" w14:textId="31710880" w:rsidR="00921778" w:rsidRPr="0031208D" w:rsidRDefault="00921778" w:rsidP="00921778">
            <w:pPr>
              <w:autoSpaceDE w:val="0"/>
              <w:autoSpaceDN w:val="0"/>
              <w:adjustRightInd w:val="0"/>
              <w:spacing w:before="240" w:after="0"/>
              <w:rPr>
                <w:sz w:val="22"/>
              </w:rPr>
            </w:pPr>
            <w:r w:rsidRPr="0031208D">
              <w:rPr>
                <w:sz w:val="22"/>
              </w:rPr>
              <w:t xml:space="preserve">V začetku 2025 smo organizirali tudi </w:t>
            </w:r>
            <w:r w:rsidRPr="0031208D">
              <w:rPr>
                <w:b/>
                <w:bCs/>
                <w:sz w:val="22"/>
              </w:rPr>
              <w:t>slavnostni dogodek ob zaključku programskega obdobj</w:t>
            </w:r>
            <w:r w:rsidRPr="0031208D">
              <w:rPr>
                <w:sz w:val="22"/>
              </w:rPr>
              <w:t>a 2014 - 2020. Pripravili smo razstavo uspešnih sofinanciranih projektov– za prikaz</w:t>
            </w:r>
            <w:r w:rsidR="00366B0F" w:rsidRPr="0031208D">
              <w:rPr>
                <w:sz w:val="22"/>
              </w:rPr>
              <w:t>,</w:t>
            </w:r>
            <w:r w:rsidRPr="0031208D">
              <w:rPr>
                <w:sz w:val="22"/>
              </w:rPr>
              <w:t xml:space="preserve"> da EU sredstva v </w:t>
            </w:r>
            <w:r w:rsidRPr="0031208D">
              <w:rPr>
                <w:sz w:val="22"/>
              </w:rPr>
              <w:lastRenderedPageBreak/>
              <w:t xml:space="preserve">Sloveniji omogočajo boljše in kvalitetnejše </w:t>
            </w:r>
            <w:r w:rsidR="00A626D0" w:rsidRPr="0031208D">
              <w:rPr>
                <w:sz w:val="22"/>
              </w:rPr>
              <w:t xml:space="preserve">življenje </w:t>
            </w:r>
            <w:r w:rsidRPr="0031208D">
              <w:rPr>
                <w:sz w:val="22"/>
              </w:rPr>
              <w:t>na številnih področjih. Želja je, da bi šlo za potujočo razstavo, ki bi se lahko na različnih lokacijah predstavljala.</w:t>
            </w:r>
          </w:p>
          <w:p w14:paraId="0A2CBF77" w14:textId="77777777" w:rsidR="00921778" w:rsidRPr="0031208D" w:rsidRDefault="00921778" w:rsidP="00921778">
            <w:pPr>
              <w:autoSpaceDE w:val="0"/>
              <w:autoSpaceDN w:val="0"/>
              <w:adjustRightInd w:val="0"/>
              <w:spacing w:before="240" w:after="0"/>
              <w:rPr>
                <w:bCs/>
                <w:sz w:val="22"/>
              </w:rPr>
            </w:pPr>
            <w:r w:rsidRPr="0031208D">
              <w:rPr>
                <w:sz w:val="22"/>
              </w:rPr>
              <w:t>Gre za izjemno prodorne in obiskane dogodke, zato bomo s tem nadaljevali ali jih celo razširili z</w:t>
            </w:r>
            <w:r w:rsidRPr="0031208D">
              <w:rPr>
                <w:bCs/>
                <w:sz w:val="22"/>
              </w:rPr>
              <w:t xml:space="preserve"> nagradami za tiste, ki glasujejo, s ciljem večje angažiranosti in vidnosti.</w:t>
            </w:r>
          </w:p>
          <w:p w14:paraId="031BC15F" w14:textId="19B520D7" w:rsidR="00921778" w:rsidRPr="0031208D" w:rsidRDefault="00921778" w:rsidP="00921778">
            <w:pPr>
              <w:autoSpaceDE w:val="0"/>
              <w:autoSpaceDN w:val="0"/>
              <w:adjustRightInd w:val="0"/>
              <w:spacing w:before="240" w:after="0"/>
              <w:rPr>
                <w:sz w:val="22"/>
              </w:rPr>
            </w:pPr>
            <w:r w:rsidRPr="0031208D">
              <w:rPr>
                <w:sz w:val="22"/>
              </w:rPr>
              <w:t>OU zagotavlja, da so vsebine v zvezi s skladom IUMV objavljene in redno posodabljane na enotnem spletnem portalu. Ogledi (722) in dejavnosti (1.596 - branje, klik, prenos dokumenta) so se, v primerjavi s preteklim obdobjem poročanja, povečali. Največ jih beležimo na podstraneh z navodili, sledijo programski dokumenti, akcijski načrti ipd. OU se bo vključil v dodajanje dobrih zgodb in opise operacij. Dodatnih aktivnosti za povečanje obiska spletne strani ne načrtujemo.</w:t>
            </w:r>
          </w:p>
          <w:p w14:paraId="5AD60F62" w14:textId="77777777" w:rsidR="00921778" w:rsidRPr="0031208D" w:rsidRDefault="00921778" w:rsidP="00921778">
            <w:pPr>
              <w:autoSpaceDE w:val="0"/>
              <w:autoSpaceDN w:val="0"/>
              <w:adjustRightInd w:val="0"/>
              <w:spacing w:before="0" w:after="0"/>
              <w:rPr>
                <w:noProof/>
                <w:sz w:val="22"/>
              </w:rPr>
            </w:pPr>
          </w:p>
          <w:p w14:paraId="1A0BDC06" w14:textId="082DF191" w:rsidR="00921778" w:rsidRPr="0031208D" w:rsidRDefault="00921778" w:rsidP="00921778">
            <w:pPr>
              <w:tabs>
                <w:tab w:val="left" w:pos="4252"/>
              </w:tabs>
              <w:autoSpaceDE w:val="0"/>
              <w:autoSpaceDN w:val="0"/>
              <w:adjustRightInd w:val="0"/>
              <w:spacing w:before="0" w:after="0"/>
              <w:rPr>
                <w:sz w:val="22"/>
              </w:rPr>
            </w:pPr>
            <w:r w:rsidRPr="0031208D">
              <w:rPr>
                <w:sz w:val="22"/>
              </w:rPr>
              <w:t>Aktivnosti za povečanje prepoznavnosti vsebin in operacij, (so)financiranih iz programa IUMV</w:t>
            </w:r>
            <w:r w:rsidR="00B72794">
              <w:rPr>
                <w:sz w:val="22"/>
              </w:rPr>
              <w:t>,</w:t>
            </w:r>
            <w:r w:rsidRPr="0031208D">
              <w:rPr>
                <w:sz w:val="22"/>
              </w:rPr>
              <w:t xml:space="preserve"> so potekale na Intranetu MNZ in družbenih omrežjih MNZ (FB in X), Policijskem FB, evropska sredstva FB, evropska sredstva Linkedin. Prav tako spodbujamo upravičence za objave na njihovih spletnih straneh in družbenih omrežjih za povečanje vidnosti EU (so)financiranja. Še vedno spodbujamo uporabo ključnikov, zaradi lažjega sledenj</w:t>
            </w:r>
            <w:r w:rsidR="00366B0F" w:rsidRPr="0031208D">
              <w:rPr>
                <w:sz w:val="22"/>
              </w:rPr>
              <w:t>a</w:t>
            </w:r>
            <w:r w:rsidRPr="0031208D">
              <w:rPr>
                <w:sz w:val="22"/>
              </w:rPr>
              <w:t xml:space="preserve"> objavam.</w:t>
            </w:r>
          </w:p>
          <w:p w14:paraId="5404A353" w14:textId="77777777" w:rsidR="00921778" w:rsidRPr="0031208D" w:rsidRDefault="00921778" w:rsidP="00921778">
            <w:pPr>
              <w:tabs>
                <w:tab w:val="left" w:pos="4252"/>
              </w:tabs>
              <w:autoSpaceDE w:val="0"/>
              <w:autoSpaceDN w:val="0"/>
              <w:adjustRightInd w:val="0"/>
              <w:spacing w:before="0" w:after="0"/>
              <w:rPr>
                <w:sz w:val="22"/>
              </w:rPr>
            </w:pPr>
          </w:p>
          <w:p w14:paraId="50FA9C7D" w14:textId="77777777" w:rsidR="00921778" w:rsidRPr="0031208D" w:rsidRDefault="00921778" w:rsidP="00921778">
            <w:pPr>
              <w:tabs>
                <w:tab w:val="left" w:pos="4252"/>
              </w:tabs>
              <w:autoSpaceDE w:val="0"/>
              <w:autoSpaceDN w:val="0"/>
              <w:adjustRightInd w:val="0"/>
              <w:spacing w:before="0" w:after="0"/>
              <w:rPr>
                <w:sz w:val="22"/>
              </w:rPr>
            </w:pPr>
            <w:r w:rsidRPr="0031208D">
              <w:rPr>
                <w:sz w:val="22"/>
                <w:u w:val="single"/>
              </w:rPr>
              <w:t>Na FB MNZ</w:t>
            </w:r>
            <w:r w:rsidRPr="0031208D">
              <w:rPr>
                <w:sz w:val="22"/>
              </w:rPr>
              <w:t xml:space="preserve"> je bilo v tem obdobju objavljenih 26 objav (22 slikovnih in štiri objave, ki vsebujejo videoposnetke). Skupno si je objave ogledalo 21.588 uporabnikov. Od teh je bil največji doseg pri objavah v temi pobude EU z dosegom 8.099 uporabnikov. Objava, ki je dosegla najboljšo gledanost, je bila objava z naslovom »Z evropskimi sredstvi do posodobljenih prostorov za vodnike službenih psov« (11. 3. 2024), in sicer 4.417 uporabnikov.</w:t>
            </w:r>
          </w:p>
          <w:p w14:paraId="3952527C" w14:textId="77777777" w:rsidR="00921778" w:rsidRPr="0031208D" w:rsidRDefault="00921778" w:rsidP="00921778">
            <w:pPr>
              <w:tabs>
                <w:tab w:val="left" w:pos="4252"/>
              </w:tabs>
              <w:autoSpaceDE w:val="0"/>
              <w:autoSpaceDN w:val="0"/>
              <w:adjustRightInd w:val="0"/>
              <w:spacing w:before="0" w:after="0"/>
              <w:rPr>
                <w:sz w:val="22"/>
              </w:rPr>
            </w:pPr>
          </w:p>
          <w:p w14:paraId="2633282E" w14:textId="77777777" w:rsidR="00921778" w:rsidRPr="0031208D" w:rsidRDefault="00921778" w:rsidP="00921778">
            <w:pPr>
              <w:tabs>
                <w:tab w:val="left" w:pos="4252"/>
              </w:tabs>
              <w:autoSpaceDE w:val="0"/>
              <w:autoSpaceDN w:val="0"/>
              <w:adjustRightInd w:val="0"/>
              <w:spacing w:before="0" w:after="0"/>
              <w:rPr>
                <w:sz w:val="22"/>
              </w:rPr>
            </w:pPr>
            <w:r w:rsidRPr="0031208D">
              <w:rPr>
                <w:sz w:val="22"/>
                <w:u w:val="single"/>
              </w:rPr>
              <w:t>Na FB Evropska sredstva</w:t>
            </w:r>
            <w:r w:rsidRPr="0031208D">
              <w:rPr>
                <w:sz w:val="22"/>
              </w:rPr>
              <w:t xml:space="preserve"> je bilo narejenih 31 objav (video in slike), od tega 3 z videoposnetki za dobre EU zgodbe - skupno si jih je ogledalo 521.385 uporabnikov. </w:t>
            </w:r>
          </w:p>
          <w:p w14:paraId="13992AFB" w14:textId="77777777" w:rsidR="00921778" w:rsidRPr="0031208D" w:rsidRDefault="00921778" w:rsidP="00921778">
            <w:pPr>
              <w:tabs>
                <w:tab w:val="left" w:pos="4252"/>
              </w:tabs>
              <w:autoSpaceDE w:val="0"/>
              <w:autoSpaceDN w:val="0"/>
              <w:adjustRightInd w:val="0"/>
              <w:spacing w:before="0" w:after="0"/>
              <w:rPr>
                <w:sz w:val="22"/>
              </w:rPr>
            </w:pPr>
          </w:p>
          <w:p w14:paraId="7612907C" w14:textId="77777777" w:rsidR="00921778" w:rsidRPr="0031208D" w:rsidRDefault="00921778" w:rsidP="00921778">
            <w:pPr>
              <w:tabs>
                <w:tab w:val="left" w:pos="4252"/>
              </w:tabs>
              <w:autoSpaceDE w:val="0"/>
              <w:autoSpaceDN w:val="0"/>
              <w:adjustRightInd w:val="0"/>
              <w:spacing w:before="0" w:after="0"/>
              <w:rPr>
                <w:sz w:val="22"/>
              </w:rPr>
            </w:pPr>
            <w:r w:rsidRPr="0031208D">
              <w:rPr>
                <w:sz w:val="22"/>
              </w:rPr>
              <w:t xml:space="preserve">Na omrežju </w:t>
            </w:r>
            <w:r w:rsidRPr="0031208D">
              <w:rPr>
                <w:sz w:val="22"/>
                <w:u w:val="single"/>
              </w:rPr>
              <w:t>X MNZ</w:t>
            </w:r>
            <w:r w:rsidRPr="0031208D">
              <w:rPr>
                <w:sz w:val="22"/>
              </w:rPr>
              <w:t xml:space="preserve"> je bilo v obdobju narejenih 6 slikovnih objav, ki si jih je skupno ogledalo 4.913 uporabnikov. Od teh je bil največji doseg pri temi mednarodni dnevi z dosegom 2.381 uporabnikov. Objava, ki je dosegla najboljšo gledanost, je bila objava z naslovom »Jutri je evropski dan boja proti trgovini z ljudmi« (17. 10. 2024), in sicer 1.503 uporabnikov.</w:t>
            </w:r>
          </w:p>
          <w:p w14:paraId="413DD2D1" w14:textId="77777777" w:rsidR="00921778" w:rsidRPr="0031208D" w:rsidRDefault="00921778" w:rsidP="00921778">
            <w:pPr>
              <w:tabs>
                <w:tab w:val="left" w:pos="4252"/>
              </w:tabs>
              <w:autoSpaceDE w:val="0"/>
              <w:autoSpaceDN w:val="0"/>
              <w:adjustRightInd w:val="0"/>
              <w:spacing w:before="0" w:after="0"/>
              <w:rPr>
                <w:sz w:val="22"/>
              </w:rPr>
            </w:pPr>
          </w:p>
          <w:p w14:paraId="7BCD79CF" w14:textId="1A3EA498" w:rsidR="00921778" w:rsidRPr="0031208D" w:rsidRDefault="00921778" w:rsidP="00921778">
            <w:pPr>
              <w:tabs>
                <w:tab w:val="left" w:pos="4252"/>
              </w:tabs>
              <w:autoSpaceDE w:val="0"/>
              <w:autoSpaceDN w:val="0"/>
              <w:adjustRightInd w:val="0"/>
              <w:spacing w:before="0" w:after="0"/>
              <w:rPr>
                <w:sz w:val="22"/>
              </w:rPr>
            </w:pPr>
            <w:r w:rsidRPr="0031208D">
              <w:rPr>
                <w:sz w:val="22"/>
              </w:rPr>
              <w:t>Poleg tega smo prisotni v mesečniku Vizija kohezija (cca 4</w:t>
            </w:r>
            <w:r w:rsidR="00320B82">
              <w:rPr>
                <w:sz w:val="22"/>
              </w:rPr>
              <w:t>.</w:t>
            </w:r>
            <w:r w:rsidRPr="0031208D">
              <w:rPr>
                <w:sz w:val="22"/>
              </w:rPr>
              <w:t>000 naročnikov), kjer se dogovarjamo, da bi v prihodnosti bil določen prostor namenjen samo aktivnostim naših skladov.</w:t>
            </w:r>
          </w:p>
          <w:p w14:paraId="683B3EBA" w14:textId="5380FA0E" w:rsidR="00F770B4" w:rsidRPr="0031208D" w:rsidRDefault="00F770B4" w:rsidP="00EB20B4">
            <w:pPr>
              <w:tabs>
                <w:tab w:val="left" w:pos="4252"/>
              </w:tabs>
              <w:autoSpaceDE w:val="0"/>
              <w:autoSpaceDN w:val="0"/>
              <w:adjustRightInd w:val="0"/>
              <w:spacing w:before="0" w:after="0"/>
              <w:rPr>
                <w:sz w:val="22"/>
              </w:rPr>
            </w:pPr>
          </w:p>
        </w:tc>
      </w:tr>
    </w:tbl>
    <w:p w14:paraId="5BDAD778" w14:textId="77777777" w:rsidR="00AD502C" w:rsidRPr="0031208D" w:rsidRDefault="00F12B44" w:rsidP="00AD502C">
      <w:pPr>
        <w:rPr>
          <w:noProof/>
          <w:sz w:val="22"/>
        </w:rPr>
      </w:pPr>
      <w:r w:rsidRPr="0031208D">
        <w:rPr>
          <w:noProof/>
          <w:sz w:val="22"/>
        </w:rPr>
        <w:lastRenderedPageBreak/>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31208D" w:rsidRPr="0031208D" w14:paraId="211AE865" w14:textId="77777777" w:rsidTr="00E45665">
        <w:tc>
          <w:tcPr>
            <w:tcW w:w="9289" w:type="dxa"/>
          </w:tcPr>
          <w:p w14:paraId="7588EDE2" w14:textId="77777777" w:rsidR="00F67231" w:rsidRPr="0031208D" w:rsidRDefault="00FD0A30" w:rsidP="00F67231">
            <w:pPr>
              <w:pStyle w:val="Personnequisigne"/>
              <w:jc w:val="both"/>
              <w:rPr>
                <w:sz w:val="22"/>
              </w:rPr>
            </w:pPr>
            <w:r w:rsidRPr="0031208D">
              <w:rPr>
                <w:i w:val="0"/>
                <w:noProof/>
                <w:sz w:val="22"/>
              </w:rPr>
              <w:t>https://evropskasredstva.si</w:t>
            </w:r>
          </w:p>
        </w:tc>
      </w:tr>
    </w:tbl>
    <w:p w14:paraId="205236BF" w14:textId="77777777" w:rsidR="00AD502C" w:rsidRPr="0031208D" w:rsidRDefault="001C1609" w:rsidP="001C1609">
      <w:pPr>
        <w:pStyle w:val="ManualHeading1"/>
        <w:rPr>
          <w:noProof/>
          <w:sz w:val="22"/>
        </w:rPr>
      </w:pPr>
      <w:r w:rsidRPr="0031208D">
        <w:rPr>
          <w:sz w:val="22"/>
        </w:rPr>
        <w:t>5.</w:t>
      </w:r>
      <w:r w:rsidRPr="0031208D">
        <w:rPr>
          <w:sz w:val="22"/>
        </w:rPr>
        <w:tab/>
      </w:r>
      <w:r w:rsidR="00AD502C" w:rsidRPr="0031208D">
        <w:rPr>
          <w:noProof/>
          <w:sz w:val="22"/>
        </w:rPr>
        <w:t xml:space="preserve">Omogočitveni pogoji in horizontalna načela </w:t>
      </w:r>
    </w:p>
    <w:p w14:paraId="0D0AFEE1" w14:textId="77777777" w:rsidR="00AD502C" w:rsidRPr="0031208D" w:rsidRDefault="001C1609" w:rsidP="001C1609">
      <w:pPr>
        <w:pStyle w:val="ManualHeading2"/>
        <w:rPr>
          <w:noProof/>
          <w:sz w:val="22"/>
        </w:rPr>
      </w:pPr>
      <w:r w:rsidRPr="0031208D">
        <w:rPr>
          <w:sz w:val="22"/>
        </w:rPr>
        <w:t>5.1.</w:t>
      </w:r>
      <w:r w:rsidRPr="0031208D">
        <w:rPr>
          <w:sz w:val="22"/>
        </w:rPr>
        <w:tab/>
      </w:r>
      <w:r w:rsidR="00AD502C" w:rsidRPr="0031208D">
        <w:rPr>
          <w:noProof/>
          <w:sz w:val="22"/>
        </w:rPr>
        <w:t>Omogočitveni pogoji – člen 29(2), točka (f), Uredbe (EU) 2021/1148</w:t>
      </w:r>
    </w:p>
    <w:p w14:paraId="79E0A7C5" w14:textId="77777777" w:rsidR="00AD502C" w:rsidRPr="0031208D" w:rsidRDefault="00F12B44" w:rsidP="00AD502C">
      <w:pPr>
        <w:rPr>
          <w:noProof/>
          <w:sz w:val="22"/>
        </w:rPr>
      </w:pPr>
      <w:r w:rsidRPr="0031208D">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Pr>
      <w:tblGrid>
        <w:gridCol w:w="9063"/>
      </w:tblGrid>
      <w:tr w:rsidR="0031208D" w:rsidRPr="0031208D" w14:paraId="7C973A73" w14:textId="77777777" w:rsidTr="00D34EBE">
        <w:trPr>
          <w:trHeight w:val="3818"/>
        </w:trPr>
        <w:tc>
          <w:tcPr>
            <w:tcW w:w="9289" w:type="dxa"/>
          </w:tcPr>
          <w:p w14:paraId="3298ED63" w14:textId="38771F18" w:rsidR="00C61BA0" w:rsidRPr="0031208D" w:rsidRDefault="00C61BA0" w:rsidP="00C61BA0">
            <w:pPr>
              <w:spacing w:before="0" w:after="160" w:line="259" w:lineRule="auto"/>
              <w:rPr>
                <w:sz w:val="22"/>
              </w:rPr>
            </w:pPr>
            <w:r w:rsidRPr="0031208D">
              <w:rPr>
                <w:sz w:val="22"/>
              </w:rPr>
              <w:lastRenderedPageBreak/>
              <w:t>Ključne v obdobju poročanja so bile aktivnosti</w:t>
            </w:r>
            <w:r w:rsidR="00320B82">
              <w:rPr>
                <w:sz w:val="22"/>
              </w:rPr>
              <w:t>,</w:t>
            </w:r>
            <w:r w:rsidRPr="0031208D">
              <w:rPr>
                <w:sz w:val="22"/>
              </w:rPr>
              <w:t xml:space="preserve"> usmerjene v preverjanje implementacije omogočitvenih pogojev na ravni posameznih operacij. S tem namenom smo  preverjanje skladnosti z Listino EU o temeljnih pravicah ter Konvencijo o pravicah invalidov vključili v vsakokratno kontrolo prijave operacij in kontrolo zahtevkov za povračilo oz. izplačilo. Na podlagi pregledov nismo zaznali, da bi bile aktivnosti kontroliranih operacij neskladne z Listino in/ali Konvencijo.</w:t>
            </w:r>
          </w:p>
          <w:p w14:paraId="2FD7B2C7" w14:textId="0DA9521A" w:rsidR="00C61BA0" w:rsidRPr="0031208D" w:rsidRDefault="00C61BA0" w:rsidP="00C61BA0">
            <w:pPr>
              <w:spacing w:before="0" w:after="160" w:line="259" w:lineRule="auto"/>
              <w:rPr>
                <w:sz w:val="22"/>
              </w:rPr>
            </w:pPr>
            <w:r w:rsidRPr="0031208D">
              <w:rPr>
                <w:sz w:val="22"/>
              </w:rPr>
              <w:t>Nadaljujemo z delovanjem v posvetovalnem telesu ministrstva za integracijo načela enakosti spolov. To nam omogoča, da na področju enakosti spolov aktivno sodelujemo pri oblikovanju politik in izvajanju aktivnosti znotraj ministrstva</w:t>
            </w:r>
            <w:r w:rsidR="00366B0F" w:rsidRPr="0031208D">
              <w:rPr>
                <w:sz w:val="22"/>
              </w:rPr>
              <w:t>,</w:t>
            </w:r>
            <w:r w:rsidRPr="0031208D">
              <w:rPr>
                <w:sz w:val="22"/>
              </w:rPr>
              <w:t xml:space="preserve"> kot tudi</w:t>
            </w:r>
            <w:r w:rsidR="00366B0F" w:rsidRPr="0031208D">
              <w:rPr>
                <w:sz w:val="22"/>
              </w:rPr>
              <w:t xml:space="preserve">, </w:t>
            </w:r>
            <w:r w:rsidRPr="0031208D">
              <w:rPr>
                <w:sz w:val="22"/>
              </w:rPr>
              <w:t>da imamo dostop do dodatnih izobraževalnih vsebin.</w:t>
            </w:r>
          </w:p>
          <w:p w14:paraId="00F23E89" w14:textId="77777777" w:rsidR="00C61BA0" w:rsidRPr="0031208D" w:rsidRDefault="00C61BA0" w:rsidP="00C61BA0">
            <w:pPr>
              <w:spacing w:before="0" w:after="160" w:line="259" w:lineRule="auto"/>
              <w:rPr>
                <w:sz w:val="22"/>
              </w:rPr>
            </w:pPr>
            <w:r w:rsidRPr="0031208D">
              <w:rPr>
                <w:sz w:val="22"/>
              </w:rPr>
              <w:t>Za odbor za spremljanje smo pripravili letno poročilo in člane odbora seznanili z izvedenimi aktivnostmi.</w:t>
            </w:r>
          </w:p>
          <w:p w14:paraId="6855B0C2" w14:textId="77777777" w:rsidR="00C61BA0" w:rsidRPr="0031208D" w:rsidRDefault="00C61BA0" w:rsidP="00C61BA0">
            <w:pPr>
              <w:spacing w:before="0" w:after="160" w:line="259" w:lineRule="auto"/>
              <w:rPr>
                <w:sz w:val="22"/>
              </w:rPr>
            </w:pPr>
            <w:r w:rsidRPr="0031208D">
              <w:rPr>
                <w:sz w:val="22"/>
              </w:rPr>
              <w:t>Pri Varuhu človekovih pravic in Zagovorniku načela enakosti smo preverili ali sta v času od septembra 2024 do septembra 2025 prejela pobude, ki bi bile vsebinsko vezane na izvajanje programa SNV, programa AMIF in programa IUMV. Tovrstnih pobud nista prejela.</w:t>
            </w:r>
          </w:p>
          <w:p w14:paraId="55A22016" w14:textId="203E5E0A" w:rsidR="005C62A3" w:rsidRPr="0031208D" w:rsidRDefault="00C61BA0" w:rsidP="00C448AF">
            <w:pPr>
              <w:spacing w:before="0" w:after="160" w:line="259" w:lineRule="auto"/>
              <w:rPr>
                <w:sz w:val="22"/>
              </w:rPr>
            </w:pPr>
            <w:r w:rsidRPr="0031208D">
              <w:rPr>
                <w:sz w:val="22"/>
              </w:rPr>
              <w:t>V obračunskem obdobju nismo prejeli prijav ali vprašanj s strani upravičencev</w:t>
            </w:r>
            <w:r w:rsidR="00320B82">
              <w:rPr>
                <w:sz w:val="22"/>
              </w:rPr>
              <w:t>,</w:t>
            </w:r>
            <w:r w:rsidRPr="0031208D">
              <w:rPr>
                <w:sz w:val="22"/>
              </w:rPr>
              <w:t xml:space="preserve"> prav tako prijav ali vprašanj nismo prejeli preko prijavnega obrazca na spletnem mestu https://evropskasredstva.si/prijava-krsitev-3/ .</w:t>
            </w:r>
          </w:p>
          <w:p w14:paraId="2F481D42" w14:textId="58CF1877" w:rsidR="00D34EBE" w:rsidRPr="0031208D" w:rsidRDefault="00D34EBE" w:rsidP="00C448AF">
            <w:pPr>
              <w:spacing w:before="0" w:after="160" w:line="259" w:lineRule="auto"/>
              <w:rPr>
                <w:sz w:val="22"/>
              </w:rPr>
            </w:pPr>
          </w:p>
        </w:tc>
      </w:tr>
    </w:tbl>
    <w:p w14:paraId="50AA46F0" w14:textId="77777777" w:rsidR="00AD502C" w:rsidRPr="0031208D" w:rsidRDefault="001C1609" w:rsidP="001C1609">
      <w:pPr>
        <w:pStyle w:val="ManualHeading2"/>
        <w:rPr>
          <w:noProof/>
          <w:sz w:val="22"/>
        </w:rPr>
      </w:pPr>
      <w:r w:rsidRPr="0031208D">
        <w:rPr>
          <w:sz w:val="22"/>
        </w:rPr>
        <w:t>5.2.</w:t>
      </w:r>
      <w:r w:rsidRPr="0031208D">
        <w:rPr>
          <w:sz w:val="22"/>
        </w:rPr>
        <w:tab/>
      </w:r>
      <w:r w:rsidR="0001528B" w:rsidRPr="0031208D">
        <w:rPr>
          <w:noProof/>
          <w:sz w:val="22"/>
        </w:rPr>
        <w:t>Skladnost s horizontalnimi načeli – člen 9 Uredbe (EU) 2021/1060</w:t>
      </w:r>
    </w:p>
    <w:p w14:paraId="2F703417" w14:textId="77777777" w:rsidR="00AD502C" w:rsidRPr="0031208D" w:rsidRDefault="0049684A" w:rsidP="00AD502C">
      <w:pPr>
        <w:rPr>
          <w:noProof/>
          <w:sz w:val="22"/>
        </w:rPr>
      </w:pPr>
      <w:r w:rsidRPr="0031208D">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31208D" w:rsidRPr="0031208D" w14:paraId="7845B408" w14:textId="77777777" w:rsidTr="00E45665">
        <w:tc>
          <w:tcPr>
            <w:tcW w:w="9289" w:type="dxa"/>
          </w:tcPr>
          <w:p w14:paraId="4D22A290" w14:textId="77777777" w:rsidR="00C61BA0" w:rsidRPr="0031208D" w:rsidRDefault="00C61BA0" w:rsidP="00C61BA0">
            <w:pPr>
              <w:spacing w:before="0" w:after="160" w:line="259" w:lineRule="auto"/>
              <w:rPr>
                <w:sz w:val="22"/>
              </w:rPr>
            </w:pPr>
            <w:r w:rsidRPr="0031208D">
              <w:rPr>
                <w:sz w:val="22"/>
              </w:rPr>
              <w:t>Z namenom zagotavljanja skladnosti z horizontalnim načelom tekom celotnega cikla operacije izvajamo sledeče aktivnosti:</w:t>
            </w:r>
          </w:p>
          <w:p w14:paraId="44C35DBB" w14:textId="77777777" w:rsidR="00C61BA0" w:rsidRPr="0031208D" w:rsidRDefault="00C61BA0" w:rsidP="008932CE">
            <w:pPr>
              <w:pStyle w:val="Odstavekseznama"/>
              <w:numPr>
                <w:ilvl w:val="0"/>
                <w:numId w:val="43"/>
              </w:numPr>
              <w:spacing w:before="0" w:after="160" w:line="259" w:lineRule="auto"/>
              <w:rPr>
                <w:sz w:val="22"/>
              </w:rPr>
            </w:pPr>
            <w:r w:rsidRPr="0031208D">
              <w:rPr>
                <w:sz w:val="22"/>
              </w:rPr>
              <w:t>Skladno z nacionalnimi pravili o upravičenosti za črpanje sredstev morajo upravičenci pred začetkom izvajanja posega, ki lahko pomembno vpliva na okolje, izvesti presojo vplivov na okolje in pridobiti okoljevarstveno soglasje. Za določene vrste posegov v okolje je namreč zaradi njihove velikosti, obsega, lokacije ali drugih značilnosti, ki lahko vplivajo na okolje, presoja vplivov na okolje obvezna. V teh primerih se že v predhodnem postopku ugotavlja, ali je za nameravani poseg potrebno izvesti presojo vplivov na okolje in pridobiti okoljevarstveno soglasje.</w:t>
            </w:r>
          </w:p>
          <w:p w14:paraId="15EFAC99" w14:textId="77777777" w:rsidR="00C61BA0" w:rsidRPr="0031208D" w:rsidRDefault="00C61BA0" w:rsidP="008932CE">
            <w:pPr>
              <w:pStyle w:val="Odstavekseznama"/>
              <w:numPr>
                <w:ilvl w:val="0"/>
                <w:numId w:val="43"/>
              </w:numPr>
              <w:spacing w:before="0" w:after="160" w:line="259" w:lineRule="auto"/>
              <w:rPr>
                <w:sz w:val="22"/>
              </w:rPr>
            </w:pPr>
            <w:r w:rsidRPr="0031208D">
              <w:rPr>
                <w:sz w:val="22"/>
              </w:rPr>
              <w:t>Administrativna kontrola zahtevkov za povračilo oz. izplačilo sredstev zajema tudi preverko ali izvedene aktivnosti upoštevajo pravila glede enakih možnosti, nediskriminacije in dostopnosti za invalidne osebe in tudi ali je upravičenec pri izvedbi operacije pridobil vsa potrebna dovoljenja/mnenja/soglasja s področju varovanja okolja, ki so bila v fazi potrjevanja operacije zahtevana s strani pristojnih organizacij ali so zahtevana glede na postopke, ki jih je izvedel.</w:t>
            </w:r>
          </w:p>
          <w:p w14:paraId="48FBA069" w14:textId="26BD1F02" w:rsidR="00F67231" w:rsidRPr="0031208D" w:rsidRDefault="00C61BA0" w:rsidP="00C61BA0">
            <w:pPr>
              <w:spacing w:before="0" w:after="160" w:line="259" w:lineRule="auto"/>
              <w:rPr>
                <w:sz w:val="22"/>
              </w:rPr>
            </w:pPr>
            <w:r w:rsidRPr="0031208D">
              <w:rPr>
                <w:sz w:val="22"/>
              </w:rPr>
              <w:t>Nadaljujemo z delovanjem v posvetovalnem telesu ministrstva za integracijo načela enakosti spolov. To nam omogoča, da na področju enakosti spolov aktivno sodelujemo pri oblikovanju politik in izvajanju aktivnosti znotraj ministrstva in da imamo dostop do dodatnih izobraževalnih vsebin.</w:t>
            </w:r>
          </w:p>
        </w:tc>
      </w:tr>
    </w:tbl>
    <w:p w14:paraId="25189995" w14:textId="77777777" w:rsidR="00AD502C" w:rsidRPr="0031208D" w:rsidRDefault="001C1609" w:rsidP="001C1609">
      <w:pPr>
        <w:pStyle w:val="ManualHeading1"/>
        <w:rPr>
          <w:noProof/>
          <w:sz w:val="22"/>
        </w:rPr>
      </w:pPr>
      <w:r w:rsidRPr="0031208D">
        <w:rPr>
          <w:sz w:val="22"/>
        </w:rPr>
        <w:t>6.</w:t>
      </w:r>
      <w:r w:rsidRPr="0031208D">
        <w:rPr>
          <w:sz w:val="22"/>
        </w:rPr>
        <w:tab/>
      </w:r>
      <w:r w:rsidR="00AD502C" w:rsidRPr="0031208D">
        <w:rPr>
          <w:noProof/>
          <w:sz w:val="22"/>
        </w:rPr>
        <w:t>Projekti v tretjih državah ali v zvezi z njimi – člen 29(2), točka (h), Uredbe (EU) 2021/1148</w:t>
      </w:r>
    </w:p>
    <w:p w14:paraId="3BC8BA94" w14:textId="77777777" w:rsidR="00AD502C" w:rsidRPr="0031208D" w:rsidRDefault="0049684A" w:rsidP="00AD502C">
      <w:pPr>
        <w:rPr>
          <w:noProof/>
          <w:sz w:val="22"/>
        </w:rPr>
      </w:pPr>
      <w:r w:rsidRPr="0031208D">
        <w:rPr>
          <w:noProof/>
          <w:sz w:val="22"/>
        </w:rPr>
        <w:t xml:space="preserve">Opišite vse ukrepe, ki se med obračunskim letom izvajajo v tretjih državah ali v zvezi z njimi, in kako ti ukrepi ustvarjajo dodano vrednost Unije pri doseganju ciljev, ki jih je določil Instrument. Navedite </w:t>
      </w:r>
      <w:r w:rsidRPr="0031208D">
        <w:rPr>
          <w:noProof/>
          <w:sz w:val="22"/>
        </w:rPr>
        <w:lastRenderedPageBreak/>
        <w:t>imena zadevnih tretjih držav. V opisu pojasnite, da ukrepi, ki so podprti v okviru Instrumenta, niso usmerjeni v razvoj, so namenjeni interesom notranjih politik Unije in so skladni z dejavnostmi, ki se izvajajo v Evropski uniji. Če je ustrezno, navedite posvetovanja s Komisijo, ki so potekala pred odobritvijo projekta (člen 13(12) Uredbe (EU) 2021/1148).</w:t>
      </w:r>
    </w:p>
    <w:tbl>
      <w:tblPr>
        <w:tblStyle w:val="Tabelamrea"/>
        <w:tblW w:w="0" w:type="auto"/>
        <w:tblLook w:val="04A0" w:firstRow="1" w:lastRow="0" w:firstColumn="1" w:lastColumn="0" w:noHBand="0" w:noVBand="1"/>
      </w:tblPr>
      <w:tblGrid>
        <w:gridCol w:w="9063"/>
      </w:tblGrid>
      <w:tr w:rsidR="0031208D" w:rsidRPr="0031208D" w14:paraId="0EA065D7" w14:textId="77777777" w:rsidTr="00E45665">
        <w:tc>
          <w:tcPr>
            <w:tcW w:w="9289" w:type="dxa"/>
          </w:tcPr>
          <w:p w14:paraId="4FB2E2C5" w14:textId="2F6DF8B6" w:rsidR="00AA782E" w:rsidRPr="0031208D" w:rsidRDefault="00AA782E" w:rsidP="00D34EBE">
            <w:pPr>
              <w:pStyle w:val="Personnequisigne"/>
              <w:jc w:val="both"/>
              <w:rPr>
                <w:i w:val="0"/>
                <w:noProof/>
                <w:sz w:val="22"/>
              </w:rPr>
            </w:pPr>
            <w:r w:rsidRPr="0031208D">
              <w:rPr>
                <w:i w:val="0"/>
                <w:noProof/>
                <w:sz w:val="22"/>
              </w:rPr>
              <w:t>Slovenija je v obračunskem obdobju izvajala ukrepe in operacije v tretjih državah oziroma v povezavi z njimi, s ciljem krepitve upravljanja migracij, nadzora meja ter preprečevanja čezmejne kriminalitete.</w:t>
            </w:r>
          </w:p>
          <w:p w14:paraId="1CB26FD1" w14:textId="77777777" w:rsidR="00AA782E" w:rsidRPr="0031208D" w:rsidRDefault="00AA782E" w:rsidP="00D34EBE">
            <w:pPr>
              <w:pStyle w:val="Personnequisigne"/>
              <w:jc w:val="both"/>
              <w:rPr>
                <w:i w:val="0"/>
                <w:noProof/>
                <w:sz w:val="22"/>
              </w:rPr>
            </w:pPr>
          </w:p>
          <w:p w14:paraId="04786D03" w14:textId="77777777" w:rsidR="00AA782E" w:rsidRPr="0031208D" w:rsidRDefault="00AA782E" w:rsidP="00D34EBE">
            <w:pPr>
              <w:pStyle w:val="Personnequisigne"/>
              <w:jc w:val="both"/>
              <w:rPr>
                <w:i w:val="0"/>
                <w:noProof/>
                <w:sz w:val="22"/>
              </w:rPr>
            </w:pPr>
            <w:r w:rsidRPr="0031208D">
              <w:rPr>
                <w:i w:val="0"/>
                <w:noProof/>
                <w:sz w:val="22"/>
              </w:rPr>
              <w:t>Policija je izvedla nakup treh vozil za nadzor kopenske meje in izvajanje mejne kontrole, ki so namenjena sodelovanju v skupnih operacijah na zunanjih mejah Evropske unije. Vozila bodo nominirana v nabor tehnične opreme agencije Frontex ter uporabljena v skupnih operacijah, vključno z napotitvami v tretje države, kjer je potrebna dodatna podpora pri varovanju meja. S tem se krepi operativna pripravljenost in prispeva k učinkovitejšemu skupnemu odzivu EU na migracijske in varnostne izzive.</w:t>
            </w:r>
          </w:p>
          <w:p w14:paraId="2D769560" w14:textId="77777777" w:rsidR="00AA782E" w:rsidRPr="0031208D" w:rsidRDefault="00AA782E" w:rsidP="00D34EBE">
            <w:pPr>
              <w:pStyle w:val="Personnequisigne"/>
              <w:jc w:val="both"/>
              <w:rPr>
                <w:i w:val="0"/>
                <w:noProof/>
                <w:sz w:val="22"/>
              </w:rPr>
            </w:pPr>
          </w:p>
          <w:p w14:paraId="394D4643" w14:textId="77777777" w:rsidR="00AA782E" w:rsidRPr="0031208D" w:rsidRDefault="00AA782E" w:rsidP="00D34EBE">
            <w:pPr>
              <w:pStyle w:val="Personnequisigne"/>
              <w:jc w:val="both"/>
              <w:rPr>
                <w:i w:val="0"/>
                <w:noProof/>
                <w:sz w:val="22"/>
              </w:rPr>
            </w:pPr>
            <w:r w:rsidRPr="0031208D">
              <w:rPr>
                <w:i w:val="0"/>
                <w:noProof/>
                <w:sz w:val="22"/>
              </w:rPr>
              <w:t>Poleg tega se financira delovanje uradnikov za zvezo za priseljevanje, ki izvajajo naloge na področju upravljanja migracij, preprečevanja nezakonitih migracij ter boja proti čezmejni kriminaliteti. V obravnavanem obdobju so bili napoteni trije uradniki za zvezo v tretje države, in sicer v Srbijo, Bosno in Hercegovino ter Severno Makedonijo. Njihovo delovanje pomembno prispeva k krepitvi mednarodnega sodelovanja, izmenjavi informacij ter zgodnjemu odkrivanju migracijskih in varnostnih tveganj.</w:t>
            </w:r>
          </w:p>
          <w:p w14:paraId="648D4FA1" w14:textId="77777777" w:rsidR="00AA782E" w:rsidRPr="0031208D" w:rsidRDefault="00AA782E" w:rsidP="00D34EBE">
            <w:pPr>
              <w:pStyle w:val="Personnequisigne"/>
              <w:jc w:val="both"/>
              <w:rPr>
                <w:i w:val="0"/>
                <w:noProof/>
                <w:sz w:val="22"/>
              </w:rPr>
            </w:pPr>
          </w:p>
          <w:p w14:paraId="1EAA8441" w14:textId="1C34C4C8" w:rsidR="00AD502C" w:rsidRPr="0031208D" w:rsidRDefault="00AA782E" w:rsidP="00D34EBE">
            <w:pPr>
              <w:pStyle w:val="Personnequisigne"/>
              <w:jc w:val="both"/>
              <w:rPr>
                <w:i w:val="0"/>
                <w:noProof/>
                <w:sz w:val="22"/>
              </w:rPr>
            </w:pPr>
            <w:r w:rsidRPr="0031208D">
              <w:rPr>
                <w:i w:val="0"/>
                <w:noProof/>
                <w:sz w:val="22"/>
              </w:rPr>
              <w:t>Skupno navedeni ukrepi prispevajo k celovitemu pristopu Evropske unije pri upravljanju migracij ter krepitvi varnosti tako na zunanjih mejah kot tudi širše v regiji.</w:t>
            </w:r>
          </w:p>
        </w:tc>
      </w:tr>
    </w:tbl>
    <w:p w14:paraId="3A6FB3BC" w14:textId="77777777" w:rsidR="00AD502C" w:rsidRPr="0031208D" w:rsidRDefault="001C1609" w:rsidP="001C1609">
      <w:pPr>
        <w:pStyle w:val="ManualHeading1"/>
        <w:rPr>
          <w:noProof/>
          <w:sz w:val="22"/>
        </w:rPr>
      </w:pPr>
      <w:r w:rsidRPr="0031208D">
        <w:rPr>
          <w:sz w:val="22"/>
        </w:rPr>
        <w:t>7.</w:t>
      </w:r>
      <w:r w:rsidRPr="0031208D">
        <w:rPr>
          <w:sz w:val="22"/>
        </w:rPr>
        <w:tab/>
      </w:r>
      <w:r w:rsidR="00AD502C" w:rsidRPr="0031208D">
        <w:rPr>
          <w:noProof/>
          <w:sz w:val="22"/>
        </w:rPr>
        <w:t>Povzetek – člen 29(2) Uredbe (EU) 2021/1148</w:t>
      </w:r>
    </w:p>
    <w:p w14:paraId="6A4F09D6" w14:textId="77777777" w:rsidR="00AD502C" w:rsidRPr="0031208D" w:rsidRDefault="007775C9" w:rsidP="00AD502C">
      <w:pPr>
        <w:rPr>
          <w:noProof/>
          <w:sz w:val="22"/>
        </w:rPr>
      </w:pPr>
      <w:r w:rsidRPr="0031208D">
        <w:rPr>
          <w:noProof/>
          <w:sz w:val="22"/>
        </w:rPr>
        <w:t xml:space="preserve">Predložite povzetek oddelkov 1 do 6, ki bo preveden in javno dostopen. </w:t>
      </w:r>
    </w:p>
    <w:p w14:paraId="75394F13" w14:textId="77777777" w:rsidR="00AD502C" w:rsidRPr="0031208D" w:rsidRDefault="00AD502C" w:rsidP="00AD502C">
      <w:pPr>
        <w:rPr>
          <w:noProof/>
          <w:sz w:val="22"/>
        </w:rPr>
      </w:pPr>
      <w:r w:rsidRPr="0031208D">
        <w:rPr>
          <w:noProof/>
          <w:sz w:val="22"/>
        </w:rPr>
        <w:t xml:space="preserve">Povzetek mora zajemati vsaj vse točke iz člena 29(2) in bi moral biti po možnosti strukturiran po teh točkah. </w:t>
      </w:r>
    </w:p>
    <w:p w14:paraId="329B812B" w14:textId="77777777" w:rsidR="00AD502C" w:rsidRPr="0031208D" w:rsidRDefault="00AD502C" w:rsidP="00AD502C">
      <w:pPr>
        <w:rPr>
          <w:noProof/>
          <w:sz w:val="22"/>
        </w:rPr>
      </w:pPr>
      <w:r w:rsidRPr="0031208D">
        <w:rPr>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063"/>
      </w:tblGrid>
      <w:tr w:rsidR="0005568A" w:rsidRPr="0031208D" w14:paraId="184CEE87" w14:textId="77777777" w:rsidTr="00E45665">
        <w:tc>
          <w:tcPr>
            <w:tcW w:w="9289" w:type="dxa"/>
          </w:tcPr>
          <w:p w14:paraId="459AE11C" w14:textId="287E158B" w:rsidR="008E69CF" w:rsidRPr="0031208D" w:rsidRDefault="0085152A" w:rsidP="008E69CF">
            <w:pPr>
              <w:pStyle w:val="Navadensplet"/>
              <w:jc w:val="both"/>
              <w:rPr>
                <w:sz w:val="22"/>
                <w:szCs w:val="22"/>
              </w:rPr>
            </w:pPr>
            <w:bookmarkStart w:id="3" w:name="_Hlk202448228"/>
            <w:r w:rsidRPr="0031208D">
              <w:rPr>
                <w:b/>
                <w:sz w:val="22"/>
                <w:szCs w:val="22"/>
              </w:rPr>
              <w:t>1. Smotrnost</w:t>
            </w:r>
            <w:r w:rsidRPr="0031208D">
              <w:rPr>
                <w:sz w:val="22"/>
                <w:szCs w:val="22"/>
              </w:rPr>
              <w:t xml:space="preserve">: </w:t>
            </w:r>
            <w:r w:rsidR="008E69CF" w:rsidRPr="0031208D">
              <w:rPr>
                <w:sz w:val="22"/>
                <w:szCs w:val="22"/>
              </w:rPr>
              <w:t>V poročevalnem obdobju (1.</w:t>
            </w:r>
            <w:r w:rsidR="00366B0F" w:rsidRPr="0031208D">
              <w:rPr>
                <w:sz w:val="22"/>
                <w:szCs w:val="22"/>
              </w:rPr>
              <w:t> </w:t>
            </w:r>
            <w:r w:rsidR="008E69CF" w:rsidRPr="0031208D">
              <w:rPr>
                <w:sz w:val="22"/>
                <w:szCs w:val="22"/>
              </w:rPr>
              <w:t>7.</w:t>
            </w:r>
            <w:r w:rsidR="00366B0F" w:rsidRPr="0031208D">
              <w:rPr>
                <w:sz w:val="22"/>
                <w:szCs w:val="22"/>
              </w:rPr>
              <w:t> </w:t>
            </w:r>
            <w:r w:rsidR="008E69CF" w:rsidRPr="0031208D">
              <w:rPr>
                <w:sz w:val="22"/>
                <w:szCs w:val="22"/>
              </w:rPr>
              <w:t>2024–30.</w:t>
            </w:r>
            <w:r w:rsidR="00366B0F" w:rsidRPr="0031208D">
              <w:rPr>
                <w:sz w:val="22"/>
                <w:szCs w:val="22"/>
              </w:rPr>
              <w:t> </w:t>
            </w:r>
            <w:r w:rsidR="008E69CF" w:rsidRPr="0031208D">
              <w:rPr>
                <w:sz w:val="22"/>
                <w:szCs w:val="22"/>
              </w:rPr>
              <w:t>6.</w:t>
            </w:r>
            <w:r w:rsidR="00366B0F" w:rsidRPr="0031208D">
              <w:rPr>
                <w:sz w:val="22"/>
                <w:szCs w:val="22"/>
              </w:rPr>
              <w:t> </w:t>
            </w:r>
            <w:r w:rsidR="008E69CF" w:rsidRPr="0031208D">
              <w:rPr>
                <w:sz w:val="22"/>
                <w:szCs w:val="22"/>
              </w:rPr>
              <w:t xml:space="preserve">2025) je Slovenija učinkovito izvajala večino načrtovanih aktivnosti na področju upravljanja zunanjih meja, vizumov in priprave na novi evropski Pakt o migracijah in azilu. Program </w:t>
            </w:r>
            <w:r w:rsidR="00125766" w:rsidRPr="0031208D">
              <w:rPr>
                <w:sz w:val="22"/>
                <w:szCs w:val="22"/>
              </w:rPr>
              <w:t xml:space="preserve">IUMV </w:t>
            </w:r>
            <w:r w:rsidR="008E69CF" w:rsidRPr="0031208D">
              <w:rPr>
                <w:sz w:val="22"/>
                <w:szCs w:val="22"/>
              </w:rPr>
              <w:t xml:space="preserve">je bil prilagojen novim potrebam in dodatnim sredstvom EU, zagotovljena </w:t>
            </w:r>
            <w:r w:rsidR="00125766" w:rsidRPr="0031208D">
              <w:rPr>
                <w:sz w:val="22"/>
                <w:szCs w:val="22"/>
              </w:rPr>
              <w:t xml:space="preserve">je </w:t>
            </w:r>
            <w:r w:rsidR="008E69CF" w:rsidRPr="0031208D">
              <w:rPr>
                <w:sz w:val="22"/>
                <w:szCs w:val="22"/>
              </w:rPr>
              <w:t xml:space="preserve">usklajenost </w:t>
            </w:r>
            <w:r w:rsidR="00125766" w:rsidRPr="0031208D">
              <w:rPr>
                <w:sz w:val="22"/>
                <w:szCs w:val="22"/>
              </w:rPr>
              <w:t>s</w:t>
            </w:r>
            <w:r w:rsidR="008E69CF" w:rsidRPr="0031208D">
              <w:rPr>
                <w:sz w:val="22"/>
                <w:szCs w:val="22"/>
              </w:rPr>
              <w:t xml:space="preserve"> schengensk</w:t>
            </w:r>
            <w:r w:rsidR="00125766" w:rsidRPr="0031208D">
              <w:rPr>
                <w:sz w:val="22"/>
                <w:szCs w:val="22"/>
              </w:rPr>
              <w:t xml:space="preserve">im </w:t>
            </w:r>
            <w:r w:rsidR="008E69CF" w:rsidRPr="0031208D">
              <w:rPr>
                <w:sz w:val="22"/>
                <w:szCs w:val="22"/>
              </w:rPr>
              <w:t>pravn</w:t>
            </w:r>
            <w:r w:rsidR="00125766" w:rsidRPr="0031208D">
              <w:rPr>
                <w:sz w:val="22"/>
                <w:szCs w:val="22"/>
              </w:rPr>
              <w:t>im</w:t>
            </w:r>
            <w:r w:rsidR="008E69CF" w:rsidRPr="0031208D">
              <w:rPr>
                <w:sz w:val="22"/>
                <w:szCs w:val="22"/>
              </w:rPr>
              <w:t xml:space="preserve"> red</w:t>
            </w:r>
            <w:r w:rsidR="00125766" w:rsidRPr="0031208D">
              <w:rPr>
                <w:sz w:val="22"/>
                <w:szCs w:val="22"/>
              </w:rPr>
              <w:t>om</w:t>
            </w:r>
            <w:r w:rsidR="008E69CF" w:rsidRPr="0031208D">
              <w:rPr>
                <w:sz w:val="22"/>
                <w:szCs w:val="22"/>
              </w:rPr>
              <w:t xml:space="preserve"> ter okrepljeno</w:t>
            </w:r>
            <w:r w:rsidR="00125766" w:rsidRPr="0031208D">
              <w:rPr>
                <w:sz w:val="22"/>
                <w:szCs w:val="22"/>
              </w:rPr>
              <w:t xml:space="preserve"> je</w:t>
            </w:r>
            <w:r w:rsidR="008E69CF" w:rsidRPr="0031208D">
              <w:rPr>
                <w:sz w:val="22"/>
                <w:szCs w:val="22"/>
              </w:rPr>
              <w:t xml:space="preserve"> čezmejno sodelovanje.</w:t>
            </w:r>
          </w:p>
          <w:p w14:paraId="61BAB9A6" w14:textId="448E5EBD" w:rsidR="008E69CF" w:rsidRPr="0031208D" w:rsidRDefault="008E69CF" w:rsidP="008E69CF">
            <w:pPr>
              <w:pStyle w:val="Navadensplet"/>
              <w:jc w:val="both"/>
              <w:rPr>
                <w:sz w:val="22"/>
                <w:szCs w:val="22"/>
              </w:rPr>
            </w:pPr>
            <w:r w:rsidRPr="0031208D">
              <w:rPr>
                <w:sz w:val="22"/>
                <w:szCs w:val="22"/>
              </w:rPr>
              <w:t xml:space="preserve">Sredstva so bila usmerjena v konkretne operativne ukrepe: krepitev nadzora na zunanjih mejah, podporo analizam tveganja, sodelovanje v schengenskih evalvacijah ter naložbe v opremo, vozila in informacijske sisteme (SIS, EES, ETIAS, EUROSUR). Nadgrajeni so bili ključni nacionalni informacijski sistemi za interoperabilnost in varno izmenjavo podatkov, s čimer se izboljšujeta učinkovitost mejne kontrole in varnost schengenskega območja. </w:t>
            </w:r>
          </w:p>
          <w:p w14:paraId="53710446" w14:textId="0143C478" w:rsidR="008E69CF" w:rsidRPr="0031208D" w:rsidRDefault="008E69CF" w:rsidP="008E69CF">
            <w:pPr>
              <w:pStyle w:val="Navadensplet"/>
              <w:jc w:val="both"/>
              <w:rPr>
                <w:sz w:val="22"/>
                <w:szCs w:val="22"/>
              </w:rPr>
            </w:pPr>
            <w:r w:rsidRPr="0031208D">
              <w:rPr>
                <w:sz w:val="22"/>
                <w:szCs w:val="22"/>
              </w:rPr>
              <w:t xml:space="preserve">Na področju vizumov so bile izvedene posodobitve nacionalnega vizumskega sistema, </w:t>
            </w:r>
            <w:proofErr w:type="spellStart"/>
            <w:r w:rsidR="00320B82">
              <w:rPr>
                <w:sz w:val="22"/>
                <w:szCs w:val="22"/>
              </w:rPr>
              <w:t>f</w:t>
            </w:r>
            <w:r w:rsidR="00637D03">
              <w:rPr>
                <w:sz w:val="22"/>
                <w:szCs w:val="22"/>
              </w:rPr>
              <w:t>erne</w:t>
            </w:r>
            <w:proofErr w:type="spellEnd"/>
            <w:r w:rsidR="00637D03">
              <w:rPr>
                <w:sz w:val="22"/>
                <w:szCs w:val="22"/>
              </w:rPr>
              <w:t xml:space="preserve"> opreme za podporo vizumskemu poslovanju, </w:t>
            </w:r>
            <w:r w:rsidRPr="0031208D">
              <w:rPr>
                <w:sz w:val="22"/>
                <w:szCs w:val="22"/>
              </w:rPr>
              <w:t>izboljšane komunikacijske povezave na več lokacijah ter nadgrajena infrastruktur</w:t>
            </w:r>
            <w:r w:rsidR="00637D03">
              <w:rPr>
                <w:sz w:val="22"/>
                <w:szCs w:val="22"/>
              </w:rPr>
              <w:t>n</w:t>
            </w:r>
            <w:r w:rsidRPr="0031208D">
              <w:rPr>
                <w:sz w:val="22"/>
                <w:szCs w:val="22"/>
              </w:rPr>
              <w:t>a</w:t>
            </w:r>
            <w:r w:rsidR="00637D03">
              <w:rPr>
                <w:sz w:val="22"/>
                <w:szCs w:val="22"/>
              </w:rPr>
              <w:t xml:space="preserve"> ureditev</w:t>
            </w:r>
            <w:r w:rsidRPr="0031208D">
              <w:rPr>
                <w:sz w:val="22"/>
                <w:szCs w:val="22"/>
              </w:rPr>
              <w:t xml:space="preserve"> konzularnih predstavništev, kar prispeva k varnim, učinkoviti</w:t>
            </w:r>
            <w:r w:rsidR="00320B82">
              <w:rPr>
                <w:sz w:val="22"/>
                <w:szCs w:val="22"/>
              </w:rPr>
              <w:t>m</w:t>
            </w:r>
            <w:r w:rsidRPr="0031208D">
              <w:rPr>
                <w:sz w:val="22"/>
                <w:szCs w:val="22"/>
              </w:rPr>
              <w:t xml:space="preserve"> in uporabnikom prijaznim postopkom ob hkratnem ohranjanju visokih varnostnih standardov.</w:t>
            </w:r>
          </w:p>
          <w:p w14:paraId="31BDCBA5" w14:textId="77777777" w:rsidR="008E69CF" w:rsidRPr="0031208D" w:rsidRDefault="008E69CF" w:rsidP="008E69CF">
            <w:pPr>
              <w:pStyle w:val="Navadensplet"/>
              <w:jc w:val="both"/>
              <w:rPr>
                <w:sz w:val="22"/>
                <w:szCs w:val="22"/>
              </w:rPr>
            </w:pPr>
            <w:r w:rsidRPr="0031208D">
              <w:rPr>
                <w:sz w:val="22"/>
                <w:szCs w:val="22"/>
              </w:rPr>
              <w:t xml:space="preserve">Slovenija se je hkrati intenzivno pripravljala na izvajanje nove zakonodaje EU na področju migracij in azila, ki se bo začela uporabljati leta 2026. Priprave vključujejo prilagoditve zakonodaje, </w:t>
            </w:r>
            <w:r w:rsidRPr="0031208D">
              <w:rPr>
                <w:sz w:val="22"/>
                <w:szCs w:val="22"/>
              </w:rPr>
              <w:lastRenderedPageBreak/>
              <w:t>vzpostavitev novih postopkov in mehanizmov nadzora ter krepitev administrativnih in operativnih zmogljivosti.</w:t>
            </w:r>
          </w:p>
          <w:p w14:paraId="2C5A71B7" w14:textId="5C837FFF" w:rsidR="008E69CF" w:rsidRPr="0031208D" w:rsidRDefault="008E69CF" w:rsidP="008E69CF">
            <w:pPr>
              <w:pStyle w:val="Navadensplet"/>
              <w:jc w:val="both"/>
              <w:rPr>
                <w:sz w:val="22"/>
                <w:szCs w:val="22"/>
              </w:rPr>
            </w:pPr>
            <w:r w:rsidRPr="0031208D">
              <w:rPr>
                <w:sz w:val="22"/>
                <w:szCs w:val="22"/>
              </w:rPr>
              <w:t>Na smotrnost programa so vplivali predvsem zunanji in sistemski dejavniki. Ključni vpliv je imel vstop Republike Hrvaške v schengensko območje, ki je bistveno spremenil organizacijo mejnega nadzora in upravičenost določenih</w:t>
            </w:r>
            <w:r w:rsidR="00125766" w:rsidRPr="0031208D">
              <w:rPr>
                <w:sz w:val="22"/>
                <w:szCs w:val="22"/>
              </w:rPr>
              <w:t xml:space="preserve"> naložb. </w:t>
            </w:r>
            <w:r w:rsidRPr="0031208D">
              <w:rPr>
                <w:sz w:val="22"/>
                <w:szCs w:val="22"/>
              </w:rPr>
              <w:t>Zaradi teh sprememb je bilo treba program vsebinsko in finančno prilagoditi, kar je povzročilo zamik začetka nekaterih operacij</w:t>
            </w:r>
            <w:r w:rsidR="00BD6918" w:rsidRPr="0031208D">
              <w:rPr>
                <w:sz w:val="22"/>
                <w:szCs w:val="22"/>
              </w:rPr>
              <w:t xml:space="preserve">, zamude pri </w:t>
            </w:r>
            <w:r w:rsidR="00BD6918" w:rsidRPr="0031208D">
              <w:rPr>
                <w:sz w:val="22"/>
              </w:rPr>
              <w:t xml:space="preserve">doseganju </w:t>
            </w:r>
            <w:r w:rsidR="00320B82">
              <w:rPr>
                <w:sz w:val="22"/>
              </w:rPr>
              <w:t xml:space="preserve">nekaterih </w:t>
            </w:r>
            <w:r w:rsidR="00BD6918" w:rsidRPr="0031208D">
              <w:rPr>
                <w:sz w:val="22"/>
              </w:rPr>
              <w:t>mejnikov za leto 2024 in izvedbo nekaterih aktivnostih</w:t>
            </w:r>
            <w:r w:rsidR="00BD6918" w:rsidRPr="0031208D">
              <w:rPr>
                <w:sz w:val="22"/>
                <w:szCs w:val="22"/>
              </w:rPr>
              <w:t xml:space="preserve"> </w:t>
            </w:r>
            <w:r w:rsidR="00320B82">
              <w:rPr>
                <w:sz w:val="22"/>
                <w:szCs w:val="22"/>
              </w:rPr>
              <w:t>ter</w:t>
            </w:r>
            <w:r w:rsidRPr="0031208D">
              <w:rPr>
                <w:sz w:val="22"/>
                <w:szCs w:val="22"/>
              </w:rPr>
              <w:t xml:space="preserve"> </w:t>
            </w:r>
            <w:r w:rsidR="00BD6918" w:rsidRPr="0031208D">
              <w:rPr>
                <w:sz w:val="22"/>
                <w:szCs w:val="22"/>
              </w:rPr>
              <w:t xml:space="preserve">je zahtevalo </w:t>
            </w:r>
            <w:r w:rsidRPr="0031208D">
              <w:rPr>
                <w:sz w:val="22"/>
                <w:szCs w:val="22"/>
              </w:rPr>
              <w:t xml:space="preserve">prilagoditev </w:t>
            </w:r>
            <w:r w:rsidR="00320B82">
              <w:rPr>
                <w:sz w:val="22"/>
                <w:szCs w:val="22"/>
              </w:rPr>
              <w:t xml:space="preserve">posameznih </w:t>
            </w:r>
            <w:r w:rsidRPr="0031208D">
              <w:rPr>
                <w:sz w:val="22"/>
                <w:szCs w:val="22"/>
              </w:rPr>
              <w:t>kazalnikov.</w:t>
            </w:r>
            <w:r w:rsidR="00BD6918" w:rsidRPr="0031208D">
              <w:rPr>
                <w:sz w:val="22"/>
                <w:szCs w:val="22"/>
              </w:rPr>
              <w:t xml:space="preserve"> </w:t>
            </w:r>
          </w:p>
          <w:p w14:paraId="24C93473" w14:textId="1D5A1F45" w:rsidR="008E69CF" w:rsidRPr="0031208D" w:rsidRDefault="008E69CF" w:rsidP="008E69CF">
            <w:pPr>
              <w:pStyle w:val="Navadensplet"/>
              <w:jc w:val="both"/>
              <w:rPr>
                <w:sz w:val="22"/>
                <w:szCs w:val="22"/>
              </w:rPr>
            </w:pPr>
            <w:r w:rsidRPr="0031208D">
              <w:rPr>
                <w:sz w:val="22"/>
                <w:szCs w:val="22"/>
              </w:rPr>
              <w:t>Dodatno so na časovnico vplivali poznejša potrditev programa 2021–2027, ponovitve</w:t>
            </w:r>
            <w:r w:rsidR="0005568A" w:rsidRPr="0031208D">
              <w:rPr>
                <w:sz w:val="22"/>
                <w:szCs w:val="22"/>
              </w:rPr>
              <w:t xml:space="preserve"> ali dolgi postopki</w:t>
            </w:r>
            <w:r w:rsidRPr="0031208D">
              <w:rPr>
                <w:sz w:val="22"/>
                <w:szCs w:val="22"/>
              </w:rPr>
              <w:t xml:space="preserve"> javnih naročil, kadrovski primanjkljaji (zlasti na IT področju), dolgi dobavni roki ter zamude pri razvoju sistemov na ravni EU (npr. </w:t>
            </w:r>
            <w:proofErr w:type="spellStart"/>
            <w:r w:rsidRPr="0031208D">
              <w:rPr>
                <w:sz w:val="22"/>
                <w:szCs w:val="22"/>
              </w:rPr>
              <w:t>eu</w:t>
            </w:r>
            <w:proofErr w:type="spellEnd"/>
            <w:r w:rsidRPr="0031208D">
              <w:rPr>
                <w:sz w:val="22"/>
                <w:szCs w:val="22"/>
              </w:rPr>
              <w:t>-LISA, ETIAS).</w:t>
            </w:r>
          </w:p>
          <w:p w14:paraId="55EDF7BE" w14:textId="30282574" w:rsidR="008E69CF" w:rsidRPr="0031208D" w:rsidRDefault="008E69CF" w:rsidP="008E69CF">
            <w:pPr>
              <w:pStyle w:val="Navadensplet"/>
              <w:jc w:val="both"/>
              <w:rPr>
                <w:sz w:val="22"/>
                <w:szCs w:val="22"/>
              </w:rPr>
            </w:pPr>
            <w:r w:rsidRPr="0031208D">
              <w:rPr>
                <w:sz w:val="22"/>
                <w:szCs w:val="22"/>
              </w:rPr>
              <w:t>Program je bil posodobljen (vključno z vsebinami Pakta o migracijah in azilu), ciljne vrednosti pa realneje prilagojene novim okoliščinam. Po spremembi programa je doseganje ciljev ocenjen</w:t>
            </w:r>
            <w:r w:rsidR="00ED45FA" w:rsidRPr="0031208D">
              <w:rPr>
                <w:sz w:val="22"/>
                <w:szCs w:val="22"/>
              </w:rPr>
              <w:t>o</w:t>
            </w:r>
            <w:r w:rsidRPr="0031208D">
              <w:rPr>
                <w:sz w:val="22"/>
                <w:szCs w:val="22"/>
              </w:rPr>
              <w:t xml:space="preserve"> kot bolj izvedljivo in usklajeno z dejanskimi operativnimi potrebami ter razvojem evropskega pravnega in varnostnega okvira.</w:t>
            </w:r>
          </w:p>
          <w:p w14:paraId="74760C5D" w14:textId="45703E01" w:rsidR="00F55EDE" w:rsidRPr="0031208D" w:rsidRDefault="0085152A" w:rsidP="00F55EDE">
            <w:pPr>
              <w:pStyle w:val="Navadensplet"/>
              <w:jc w:val="both"/>
              <w:rPr>
                <w:sz w:val="22"/>
                <w:szCs w:val="22"/>
              </w:rPr>
            </w:pPr>
            <w:r w:rsidRPr="0031208D">
              <w:rPr>
                <w:b/>
                <w:noProof/>
                <w:sz w:val="22"/>
                <w:szCs w:val="22"/>
              </w:rPr>
              <w:t>2. Dopolnjevanja:</w:t>
            </w:r>
            <w:r w:rsidRPr="0031208D">
              <w:rPr>
                <w:noProof/>
                <w:sz w:val="22"/>
                <w:szCs w:val="22"/>
              </w:rPr>
              <w:t xml:space="preserve"> </w:t>
            </w:r>
            <w:r w:rsidR="00F55EDE" w:rsidRPr="0031208D">
              <w:rPr>
                <w:sz w:val="22"/>
                <w:szCs w:val="22"/>
              </w:rPr>
              <w:t>Pri izvajanju programa se posebno pozornost namenja temu, da se evropska in nacionalna sredstva uporabljajo usklajeno</w:t>
            </w:r>
            <w:r w:rsidR="00125766" w:rsidRPr="0031208D">
              <w:rPr>
                <w:sz w:val="22"/>
                <w:szCs w:val="22"/>
              </w:rPr>
              <w:t xml:space="preserve">. </w:t>
            </w:r>
            <w:r w:rsidR="00F55EDE" w:rsidRPr="0031208D">
              <w:rPr>
                <w:sz w:val="22"/>
                <w:szCs w:val="22"/>
              </w:rPr>
              <w:t>V praksi se projekti najpogosteje dopolnjujejo znotraj istega programa, predvsem med dejavnostmi Ministrstva za zunanje in evropske zadeve ter Policije. Njuno sodelovanje je povezano z nadzorom vstopa v schengensko območje ter z upravljanjem vizumskih in mejnih informacijskih sistemov. Tesno sodelovanje med konzularnimi predstavništvi in policijo omogoča boljšo izmenjavo informacij, učinkovitejše odkrivanje zlorab vizumov ter celovito obravnavo tveganj – od izdaje vizuma do prehoda zunanje meje.</w:t>
            </w:r>
          </w:p>
          <w:p w14:paraId="6FC54817" w14:textId="77777777" w:rsidR="00F55EDE" w:rsidRPr="0031208D" w:rsidRDefault="00F55EDE" w:rsidP="00F55EDE">
            <w:pPr>
              <w:pStyle w:val="Navadensplet"/>
              <w:jc w:val="both"/>
              <w:rPr>
                <w:sz w:val="22"/>
                <w:szCs w:val="22"/>
              </w:rPr>
            </w:pPr>
            <w:r w:rsidRPr="0031208D">
              <w:rPr>
                <w:sz w:val="22"/>
                <w:szCs w:val="22"/>
              </w:rPr>
              <w:t>Na področju preprečevanja nezakonitih migracij se med seboj dopolnjujejo trije evropski programi: program za notranjo varnost, program za upravljanje meja in vizumsko politiko ter program za azil, migracije in vključevanje. Med prvima dvema je povezava neposredna in operativna, medtem ko tretji program prispeva predvsem na področju obravnave migrantov, azilnih postopkov in vključevanja.</w:t>
            </w:r>
          </w:p>
          <w:p w14:paraId="7E6B8161" w14:textId="0CA6226E" w:rsidR="00F55EDE" w:rsidRPr="0031208D" w:rsidRDefault="00F55EDE" w:rsidP="00F55EDE">
            <w:pPr>
              <w:pStyle w:val="Navadensplet"/>
              <w:jc w:val="both"/>
              <w:rPr>
                <w:sz w:val="22"/>
                <w:szCs w:val="22"/>
              </w:rPr>
            </w:pPr>
            <w:r w:rsidRPr="0031208D">
              <w:rPr>
                <w:sz w:val="22"/>
                <w:szCs w:val="22"/>
              </w:rPr>
              <w:t xml:space="preserve">Za spremljanje </w:t>
            </w:r>
            <w:r w:rsidR="00930E48" w:rsidRPr="0031208D">
              <w:rPr>
                <w:sz w:val="22"/>
                <w:szCs w:val="22"/>
              </w:rPr>
              <w:t>dopolnjevanj</w:t>
            </w:r>
            <w:r w:rsidR="00320B82">
              <w:rPr>
                <w:sz w:val="22"/>
                <w:szCs w:val="22"/>
              </w:rPr>
              <w:t>a</w:t>
            </w:r>
            <w:r w:rsidR="00930E48" w:rsidRPr="0031208D">
              <w:rPr>
                <w:sz w:val="22"/>
                <w:szCs w:val="22"/>
              </w:rPr>
              <w:t xml:space="preserve"> </w:t>
            </w:r>
            <w:r w:rsidRPr="0031208D">
              <w:rPr>
                <w:sz w:val="22"/>
                <w:szCs w:val="22"/>
              </w:rPr>
              <w:t>z drugimi evropskimi viri financiranja je vzpostavljen sistematičen pristop. Analiza je pokazala, da se projekti na področju upravljanja meja in vizumov pomembno dopolnjujejo tudi z naložbami iz Načrta za okrevanje in odpornost, zlasti pri digitalizaciji, nadgradnji informacijskih sistemov ter krepitvi zmogljivosti države.</w:t>
            </w:r>
          </w:p>
          <w:p w14:paraId="7D4F5D25" w14:textId="5E00C699" w:rsidR="00F55EDE" w:rsidRPr="0031208D" w:rsidRDefault="00F55EDE" w:rsidP="00F55EDE">
            <w:pPr>
              <w:pStyle w:val="Navadensplet"/>
              <w:jc w:val="both"/>
              <w:rPr>
                <w:sz w:val="22"/>
                <w:szCs w:val="22"/>
              </w:rPr>
            </w:pPr>
            <w:r w:rsidRPr="0031208D">
              <w:rPr>
                <w:sz w:val="22"/>
                <w:szCs w:val="22"/>
              </w:rPr>
              <w:t xml:space="preserve">Razvoj in povezovanje sodobnih informacijskih rešitev za nadzor meja in obdelavo podatkov poteka usklajeno z nadgradnjo osrednje informacijske infrastrukture, financirane iz evropskega instrumenta za okrevanje. Na ta način se zagotavlja učinkovita, pregledna in trajnostna poraba </w:t>
            </w:r>
            <w:r w:rsidR="00930E48" w:rsidRPr="0031208D">
              <w:rPr>
                <w:sz w:val="22"/>
                <w:szCs w:val="22"/>
              </w:rPr>
              <w:t>EU</w:t>
            </w:r>
            <w:r w:rsidRPr="0031208D">
              <w:rPr>
                <w:sz w:val="22"/>
                <w:szCs w:val="22"/>
              </w:rPr>
              <w:t xml:space="preserve"> ter večja varnost schengenskega območja.</w:t>
            </w:r>
          </w:p>
          <w:p w14:paraId="7F3A1317" w14:textId="10E00D88" w:rsidR="00234273" w:rsidRPr="0031208D" w:rsidRDefault="0085152A" w:rsidP="00234273">
            <w:pPr>
              <w:pStyle w:val="Navadensplet"/>
              <w:jc w:val="both"/>
              <w:rPr>
                <w:noProof/>
                <w:sz w:val="22"/>
                <w:szCs w:val="22"/>
              </w:rPr>
            </w:pPr>
            <w:r w:rsidRPr="0031208D">
              <w:rPr>
                <w:b/>
                <w:noProof/>
                <w:sz w:val="22"/>
                <w:szCs w:val="22"/>
              </w:rPr>
              <w:t>3. Izvajanje pravnega reda Unije</w:t>
            </w:r>
            <w:r w:rsidRPr="0031208D">
              <w:rPr>
                <w:noProof/>
                <w:sz w:val="22"/>
                <w:szCs w:val="22"/>
              </w:rPr>
              <w:t xml:space="preserve">: </w:t>
            </w:r>
            <w:r w:rsidR="00234273" w:rsidRPr="0031208D">
              <w:rPr>
                <w:noProof/>
                <w:sz w:val="22"/>
                <w:szCs w:val="22"/>
              </w:rPr>
              <w:t>V obračunskem letu je Slovenija preko program</w:t>
            </w:r>
            <w:r w:rsidR="00930E48" w:rsidRPr="0031208D">
              <w:rPr>
                <w:noProof/>
                <w:sz w:val="22"/>
                <w:szCs w:val="22"/>
              </w:rPr>
              <w:t>a IUMV</w:t>
            </w:r>
            <w:r w:rsidR="00234273" w:rsidRPr="0031208D">
              <w:rPr>
                <w:noProof/>
                <w:sz w:val="22"/>
                <w:szCs w:val="22"/>
              </w:rPr>
              <w:t xml:space="preserve"> neposredno prispevala k izvajanju pravnega reda Unije. Policija je svoje naloge izvajala na podlagi nacionalnih zakonov</w:t>
            </w:r>
            <w:r w:rsidR="000E4E7E" w:rsidRPr="0031208D">
              <w:rPr>
                <w:noProof/>
                <w:sz w:val="22"/>
                <w:szCs w:val="22"/>
              </w:rPr>
              <w:t xml:space="preserve"> ter v skladu </w:t>
            </w:r>
            <w:r w:rsidR="00234273" w:rsidRPr="0031208D">
              <w:rPr>
                <w:noProof/>
                <w:sz w:val="22"/>
                <w:szCs w:val="22"/>
              </w:rPr>
              <w:t>z evropskimi pravnimi akti, predvsem</w:t>
            </w:r>
            <w:r w:rsidR="000E4E7E" w:rsidRPr="0031208D">
              <w:rPr>
                <w:noProof/>
                <w:sz w:val="22"/>
                <w:szCs w:val="22"/>
              </w:rPr>
              <w:t xml:space="preserve"> </w:t>
            </w:r>
            <w:r w:rsidR="00234273" w:rsidRPr="0031208D">
              <w:rPr>
                <w:noProof/>
                <w:sz w:val="22"/>
                <w:szCs w:val="22"/>
              </w:rPr>
              <w:t>Schengenski</w:t>
            </w:r>
            <w:r w:rsidR="000E4E7E" w:rsidRPr="0031208D">
              <w:rPr>
                <w:noProof/>
                <w:sz w:val="22"/>
                <w:szCs w:val="22"/>
              </w:rPr>
              <w:t>m</w:t>
            </w:r>
            <w:r w:rsidR="00234273" w:rsidRPr="0031208D">
              <w:rPr>
                <w:noProof/>
                <w:sz w:val="22"/>
                <w:szCs w:val="22"/>
              </w:rPr>
              <w:t xml:space="preserve"> zakonik</w:t>
            </w:r>
            <w:r w:rsidR="000E4E7E" w:rsidRPr="0031208D">
              <w:rPr>
                <w:noProof/>
                <w:sz w:val="22"/>
                <w:szCs w:val="22"/>
              </w:rPr>
              <w:t>om</w:t>
            </w:r>
            <w:r w:rsidR="00234273" w:rsidRPr="0031208D">
              <w:rPr>
                <w:noProof/>
                <w:sz w:val="22"/>
                <w:szCs w:val="22"/>
              </w:rPr>
              <w:t>, kar zagotavlja dosledno izvajanje pravil nadzora zunanjih meja in zaščito schengenskega območja.</w:t>
            </w:r>
          </w:p>
          <w:p w14:paraId="4E13C271" w14:textId="77777777" w:rsidR="000E4E7E" w:rsidRPr="0031208D" w:rsidRDefault="000E4E7E" w:rsidP="000E4E7E">
            <w:pPr>
              <w:pStyle w:val="Navadensplet"/>
              <w:jc w:val="both"/>
              <w:rPr>
                <w:noProof/>
                <w:sz w:val="22"/>
                <w:szCs w:val="22"/>
              </w:rPr>
            </w:pPr>
            <w:r w:rsidRPr="0031208D">
              <w:rPr>
                <w:noProof/>
                <w:sz w:val="22"/>
                <w:szCs w:val="22"/>
              </w:rPr>
              <w:t>Program je podpiral izvajanje in nadgradnjo ključnih informacijskih sistemov EU, ki so neposredno povezani z izvajanjem pravnega reda, vključno z Evropskim sistemom vstopa/izstopa (EES), Evropskim sistemom za avtorizacijo potovanj (ETIAS), interoperabilnimi informacijskimi sistemi, Evropsko mejno in obalno stražo, mehanizmom za schengensko evalvacijo ter Vizumskim informacijskim sistemom (VIS). Nadgradnje in povezave teh sistemov omogočajo skladnost s pravom EU, hitrejšo in varnejšo izmenjavo podatkov ter učinkovitejše izvajanje ukrepov na meji.</w:t>
            </w:r>
          </w:p>
          <w:p w14:paraId="6717546C" w14:textId="77777777" w:rsidR="000E4E7E" w:rsidRPr="0031208D" w:rsidRDefault="000E4E7E" w:rsidP="000E4E7E">
            <w:pPr>
              <w:pStyle w:val="Navadensplet"/>
              <w:jc w:val="both"/>
              <w:rPr>
                <w:noProof/>
                <w:sz w:val="22"/>
                <w:szCs w:val="22"/>
              </w:rPr>
            </w:pPr>
            <w:r w:rsidRPr="0031208D">
              <w:rPr>
                <w:noProof/>
                <w:sz w:val="22"/>
                <w:szCs w:val="22"/>
              </w:rPr>
              <w:lastRenderedPageBreak/>
              <w:t>Na področju vizumske politike EU so aktivnosti prispevale k izvajanju pravnega reda z zagotavljanjem skladnosti postopkov z Zakonom o tujcih in evropskimi pravnimi akti, zlasti Vizumskim zakonikom, Schengenskim zakonikom, sistemoma EES in ETIAS ter sistemom VIS. Program je omogočil digitalizacijo vizumskih postopkov, povezovanje informacijskih sistemov in krepitev varnosti konzularnih prostorov, kar neposredno podpira skladno izvajanje vizumske politike EU.</w:t>
            </w:r>
          </w:p>
          <w:p w14:paraId="050E983E" w14:textId="1F059523" w:rsidR="000E4E7E" w:rsidRPr="0031208D" w:rsidRDefault="000E4E7E" w:rsidP="000E4E7E">
            <w:pPr>
              <w:pStyle w:val="Navadensplet"/>
              <w:jc w:val="both"/>
              <w:rPr>
                <w:noProof/>
                <w:sz w:val="22"/>
                <w:szCs w:val="22"/>
              </w:rPr>
            </w:pPr>
            <w:r w:rsidRPr="0031208D">
              <w:rPr>
                <w:noProof/>
                <w:sz w:val="22"/>
                <w:szCs w:val="22"/>
              </w:rPr>
              <w:t xml:space="preserve">Sredstva so bila namenjena tudi usposabljanju uslužbencev o pravnem redu EU, odkrivanju ponarejenih </w:t>
            </w:r>
            <w:r w:rsidR="002149E0">
              <w:rPr>
                <w:noProof/>
                <w:sz w:val="22"/>
                <w:szCs w:val="22"/>
              </w:rPr>
              <w:t xml:space="preserve">in prenarejenih </w:t>
            </w:r>
            <w:r w:rsidRPr="0031208D">
              <w:rPr>
                <w:noProof/>
                <w:sz w:val="22"/>
                <w:szCs w:val="22"/>
              </w:rPr>
              <w:t>dokumentov ter uporabi novih informacijskih sistemov, kar zagotavlja transparentno in skladno izvajanje schengenskih pravil. Slovenija je aktivno sodelovala v delovnih telesih EU in izvajala priporočila schengenskih evalvacij, s čimer je prispevala k uresničevanju akcijskih načrtov EU na področju meja, migracij in vizumske politike.</w:t>
            </w:r>
          </w:p>
          <w:p w14:paraId="084C11EC" w14:textId="4B131D2A" w:rsidR="00407A72" w:rsidRPr="0031208D" w:rsidRDefault="0085152A" w:rsidP="00C448AF">
            <w:pPr>
              <w:autoSpaceDE w:val="0"/>
              <w:autoSpaceDN w:val="0"/>
              <w:adjustRightInd w:val="0"/>
              <w:spacing w:before="240" w:after="0"/>
              <w:rPr>
                <w:sz w:val="22"/>
              </w:rPr>
            </w:pPr>
            <w:r w:rsidRPr="0031208D">
              <w:rPr>
                <w:b/>
                <w:noProof/>
                <w:sz w:val="22"/>
              </w:rPr>
              <w:t>4. Komuniciranje in prepoznavnost:</w:t>
            </w:r>
            <w:r w:rsidRPr="0031208D">
              <w:rPr>
                <w:noProof/>
                <w:sz w:val="22"/>
              </w:rPr>
              <w:t xml:space="preserve"> </w:t>
            </w:r>
            <w:r w:rsidR="00C448AF" w:rsidRPr="0031208D">
              <w:rPr>
                <w:noProof/>
                <w:sz w:val="22"/>
              </w:rPr>
              <w:t xml:space="preserve">Slovenija vestno skrbi za promocijo </w:t>
            </w:r>
            <w:r w:rsidR="00C448AF" w:rsidRPr="0031208D">
              <w:rPr>
                <w:sz w:val="22"/>
              </w:rPr>
              <w:t>program</w:t>
            </w:r>
            <w:r w:rsidR="00930E48" w:rsidRPr="0031208D">
              <w:rPr>
                <w:sz w:val="22"/>
              </w:rPr>
              <w:t xml:space="preserve">a IUMV, </w:t>
            </w:r>
            <w:r w:rsidR="00407A72" w:rsidRPr="0031208D">
              <w:rPr>
                <w:sz w:val="22"/>
              </w:rPr>
              <w:t>kjer nastajajo številne operacije za izboljšanje našega vsakdana.</w:t>
            </w:r>
          </w:p>
          <w:p w14:paraId="5E888523" w14:textId="5D28E6E4" w:rsidR="00C448AF" w:rsidRPr="0031208D" w:rsidRDefault="00C448AF" w:rsidP="00C448AF">
            <w:pPr>
              <w:autoSpaceDE w:val="0"/>
              <w:autoSpaceDN w:val="0"/>
              <w:adjustRightInd w:val="0"/>
              <w:spacing w:before="240" w:after="0"/>
              <w:rPr>
                <w:sz w:val="22"/>
              </w:rPr>
            </w:pPr>
            <w:proofErr w:type="spellStart"/>
            <w:r w:rsidRPr="0031208D">
              <w:rPr>
                <w:iCs/>
                <w:sz w:val="22"/>
              </w:rPr>
              <w:t>Obležili</w:t>
            </w:r>
            <w:proofErr w:type="spellEnd"/>
            <w:r w:rsidRPr="0031208D">
              <w:rPr>
                <w:iCs/>
                <w:sz w:val="22"/>
              </w:rPr>
              <w:t xml:space="preserve"> smo Dan Evrope ter </w:t>
            </w:r>
            <w:r w:rsidRPr="0031208D">
              <w:rPr>
                <w:sz w:val="22"/>
              </w:rPr>
              <w:t xml:space="preserve">organizirali tudi slavnostni dogodek ob zaključku programskega obdobja 2014 – 2020, s spremljajočo razstavo uspešnih sofinanciranih projektov. </w:t>
            </w:r>
            <w:r w:rsidRPr="0031208D">
              <w:rPr>
                <w:iCs/>
                <w:sz w:val="22"/>
              </w:rPr>
              <w:t xml:space="preserve">V okviru vseslovenske akcije »EU projekt, moj projekt« je </w:t>
            </w:r>
            <w:r w:rsidR="00407A72" w:rsidRPr="0031208D">
              <w:rPr>
                <w:iCs/>
                <w:sz w:val="22"/>
              </w:rPr>
              <w:t xml:space="preserve">sodelovalo </w:t>
            </w:r>
            <w:r w:rsidRPr="0031208D">
              <w:rPr>
                <w:iCs/>
                <w:sz w:val="22"/>
              </w:rPr>
              <w:t>20 projektov, (so)financiranih iz različnih EU sredstev</w:t>
            </w:r>
            <w:r w:rsidR="00930E48" w:rsidRPr="0031208D">
              <w:rPr>
                <w:iCs/>
                <w:sz w:val="22"/>
              </w:rPr>
              <w:t xml:space="preserve">. </w:t>
            </w:r>
            <w:r w:rsidR="00407A72" w:rsidRPr="0031208D">
              <w:rPr>
                <w:iCs/>
                <w:sz w:val="22"/>
              </w:rPr>
              <w:t xml:space="preserve">Sočasno je </w:t>
            </w:r>
            <w:r w:rsidRPr="0031208D">
              <w:rPr>
                <w:iCs/>
                <w:sz w:val="22"/>
              </w:rPr>
              <w:t>po Sloveniji potekala tudi Potujoča pisarna, kjer smo ljudem na terenu predstavlja</w:t>
            </w:r>
            <w:r w:rsidR="00407A72" w:rsidRPr="0031208D">
              <w:rPr>
                <w:iCs/>
                <w:sz w:val="22"/>
              </w:rPr>
              <w:t>li</w:t>
            </w:r>
            <w:r w:rsidRPr="0031208D">
              <w:rPr>
                <w:iCs/>
                <w:sz w:val="22"/>
              </w:rPr>
              <w:t xml:space="preserve"> priložnosti evropskih skladov. </w:t>
            </w:r>
          </w:p>
          <w:p w14:paraId="366874CB" w14:textId="77777777" w:rsidR="00C448AF" w:rsidRPr="0031208D" w:rsidRDefault="00C448AF" w:rsidP="00C448AF">
            <w:pPr>
              <w:pStyle w:val="Personnequisigne"/>
              <w:jc w:val="both"/>
              <w:rPr>
                <w:i w:val="0"/>
                <w:iCs/>
                <w:sz w:val="22"/>
              </w:rPr>
            </w:pPr>
          </w:p>
          <w:p w14:paraId="0F6F39CB" w14:textId="165C7BC2" w:rsidR="00C448AF" w:rsidRPr="0031208D" w:rsidRDefault="00C448AF" w:rsidP="00C448AF">
            <w:pPr>
              <w:pStyle w:val="Personnequisigne"/>
              <w:jc w:val="both"/>
              <w:rPr>
                <w:i w:val="0"/>
                <w:sz w:val="22"/>
              </w:rPr>
            </w:pPr>
            <w:r w:rsidRPr="0031208D">
              <w:rPr>
                <w:i w:val="0"/>
                <w:iCs/>
                <w:sz w:val="22"/>
              </w:rPr>
              <w:t xml:space="preserve">Vsebine </w:t>
            </w:r>
            <w:r w:rsidR="00407A72" w:rsidRPr="0031208D">
              <w:rPr>
                <w:i w:val="0"/>
                <w:iCs/>
                <w:sz w:val="22"/>
              </w:rPr>
              <w:t xml:space="preserve">delimo na družbenih omrežjih (Facebook, X, LinkedIn). </w:t>
            </w:r>
            <w:r w:rsidRPr="0031208D">
              <w:rPr>
                <w:i w:val="0"/>
                <w:iCs/>
                <w:sz w:val="22"/>
              </w:rPr>
              <w:t>Aktivnosti upravičencev, ki izvajajo projekte, so vidne tudi na njihovih spletnih straneh in dogodkih.</w:t>
            </w:r>
            <w:r w:rsidR="00407A72" w:rsidRPr="0031208D">
              <w:rPr>
                <w:i w:val="0"/>
                <w:iCs/>
                <w:sz w:val="22"/>
              </w:rPr>
              <w:t xml:space="preserve"> </w:t>
            </w:r>
            <w:r w:rsidRPr="0031208D">
              <w:rPr>
                <w:i w:val="0"/>
                <w:sz w:val="22"/>
              </w:rPr>
              <w:t xml:space="preserve">Obiskan je tudi enotni spletni portal </w:t>
            </w:r>
            <w:hyperlink r:id="rId11" w:tgtFrame="_new" w:history="1">
              <w:r w:rsidRPr="0031208D">
                <w:rPr>
                  <w:rStyle w:val="Hiperpovezava"/>
                  <w:i w:val="0"/>
                  <w:color w:val="auto"/>
                  <w:sz w:val="22"/>
                </w:rPr>
                <w:t>www.evropskasredstva.si</w:t>
              </w:r>
            </w:hyperlink>
            <w:r w:rsidRPr="0031208D">
              <w:rPr>
                <w:i w:val="0"/>
                <w:sz w:val="22"/>
              </w:rPr>
              <w:t>, kjer so zbrane ključne in zanimive informacije o evropskih sredstvih, projektih in priložnostih za sodelovanje.</w:t>
            </w:r>
          </w:p>
          <w:p w14:paraId="2A73A350" w14:textId="77777777" w:rsidR="00930E48" w:rsidRPr="0031208D" w:rsidRDefault="00930E48" w:rsidP="00930E48">
            <w:pPr>
              <w:pStyle w:val="Personnequisigne"/>
              <w:jc w:val="both"/>
              <w:rPr>
                <w:sz w:val="22"/>
              </w:rPr>
            </w:pPr>
          </w:p>
          <w:p w14:paraId="0689D1F9" w14:textId="77777777" w:rsidR="0085152A" w:rsidRPr="0031208D" w:rsidRDefault="0085152A" w:rsidP="0085152A">
            <w:pPr>
              <w:pStyle w:val="Personnequisigne"/>
              <w:jc w:val="both"/>
              <w:rPr>
                <w:i w:val="0"/>
                <w:noProof/>
                <w:sz w:val="22"/>
              </w:rPr>
            </w:pPr>
            <w:r w:rsidRPr="0031208D">
              <w:rPr>
                <w:b/>
                <w:i w:val="0"/>
                <w:noProof/>
                <w:sz w:val="22"/>
              </w:rPr>
              <w:t>5. Omogočitveni pogoji</w:t>
            </w:r>
            <w:r w:rsidRPr="0031208D">
              <w:rPr>
                <w:i w:val="0"/>
                <w:noProof/>
                <w:sz w:val="22"/>
              </w:rPr>
              <w:t xml:space="preserve">: Slovenija </w:t>
            </w:r>
            <w:r w:rsidRPr="0031208D">
              <w:rPr>
                <w:i w:val="0"/>
                <w:sz w:val="22"/>
              </w:rPr>
              <w:t>učinkovito implementira horizontalne omogočitvene pogoje »Dejanska uporaba in izvajanje Listine o temeljnih pravicah« ter »Izvajanje in uporaba Konvencije združenih narodov o pravicah invalidov v skladu s Sklepom Sveta 2010/48/ES« v vseh fazah izvajanja programa.</w:t>
            </w:r>
            <w:r w:rsidRPr="0031208D">
              <w:rPr>
                <w:i w:val="0"/>
                <w:sz w:val="22"/>
              </w:rPr>
              <w:tab/>
            </w:r>
          </w:p>
          <w:p w14:paraId="4F529258" w14:textId="2CB85ECB" w:rsidR="00930E48" w:rsidRPr="0031208D" w:rsidRDefault="0085152A" w:rsidP="00930E48">
            <w:pPr>
              <w:rPr>
                <w:noProof/>
                <w:sz w:val="22"/>
              </w:rPr>
            </w:pPr>
            <w:r w:rsidRPr="0031208D">
              <w:rPr>
                <w:b/>
                <w:noProof/>
                <w:sz w:val="22"/>
              </w:rPr>
              <w:t>6. Projekti v tretjih državah</w:t>
            </w:r>
            <w:r w:rsidRPr="0031208D">
              <w:rPr>
                <w:noProof/>
                <w:sz w:val="22"/>
              </w:rPr>
              <w:t xml:space="preserve">: </w:t>
            </w:r>
            <w:r w:rsidR="00930E48" w:rsidRPr="0031208D">
              <w:rPr>
                <w:noProof/>
                <w:sz w:val="22"/>
              </w:rPr>
              <w:t xml:space="preserve">Slovenija je v obdobju poročanja izvajala aktivnosti tudi v tretjih državah, s ciljem boljšega upravljanja migracij, učinkovitejšega nadzora meja ter preprečevanja čezmejne kriminalitete. Policija je v ta namen zagotovila tri nova vozila za nadzor kopenske meje, ki bodo vključena v skupne operacije </w:t>
            </w:r>
            <w:r w:rsidR="00407A72" w:rsidRPr="0031208D">
              <w:rPr>
                <w:noProof/>
                <w:sz w:val="22"/>
              </w:rPr>
              <w:t>EU</w:t>
            </w:r>
            <w:r w:rsidR="00930E48" w:rsidRPr="0031208D">
              <w:rPr>
                <w:noProof/>
                <w:sz w:val="22"/>
              </w:rPr>
              <w:t xml:space="preserve"> pod okriljem agencije Frontex. Ta vozila bodo uporabljena tudi v tretjih državah, kjer je potrebna dodatna podpora, s čimer Slovenija aktivno prispeva k skupni varnosti in odzivu EU na sodobne migracijske izzive.</w:t>
            </w:r>
          </w:p>
          <w:p w14:paraId="13936316" w14:textId="2C931E7C" w:rsidR="003C4DCD" w:rsidRPr="0031208D" w:rsidRDefault="00930E48" w:rsidP="00BA1BE8">
            <w:pPr>
              <w:rPr>
                <w:noProof/>
                <w:sz w:val="22"/>
              </w:rPr>
            </w:pPr>
            <w:r w:rsidRPr="0031208D">
              <w:rPr>
                <w:noProof/>
                <w:sz w:val="22"/>
              </w:rPr>
              <w:t>Hkrati Slovenija krepi mednarodno sodelovanje z napotitvijo uradnikov za zvezo v Srbijo, Bosno in Hercegovino ter Severno Makedonijo, kjer s svojim delom prispevajo k boljšemu pretoku informacij, zgodnjemu zaznavanju tveganj ter učinkovitejšemu obvladovanju migracij in varnostnih izzivov.</w:t>
            </w:r>
          </w:p>
        </w:tc>
      </w:tr>
      <w:bookmarkEnd w:id="3"/>
    </w:tbl>
    <w:p w14:paraId="5A6778F9" w14:textId="77777777" w:rsidR="006A41E2" w:rsidRPr="0031208D" w:rsidRDefault="006A41E2">
      <w:pPr>
        <w:rPr>
          <w:noProof/>
          <w:sz w:val="22"/>
        </w:rPr>
      </w:pPr>
    </w:p>
    <w:sectPr w:rsidR="006A41E2" w:rsidRPr="0031208D" w:rsidSect="00F27903">
      <w:footerReference w:type="defaul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16C5" w14:textId="77777777" w:rsidR="00D806F2" w:rsidRDefault="00D806F2" w:rsidP="00555224">
      <w:pPr>
        <w:spacing w:before="0" w:after="0"/>
      </w:pPr>
      <w:r>
        <w:separator/>
      </w:r>
    </w:p>
  </w:endnote>
  <w:endnote w:type="continuationSeparator" w:id="0">
    <w:p w14:paraId="416FB430" w14:textId="77777777" w:rsidR="00D806F2" w:rsidRDefault="00D806F2" w:rsidP="00555224">
      <w:pPr>
        <w:spacing w:before="0" w:after="0"/>
      </w:pPr>
      <w:r>
        <w:continuationSeparator/>
      </w:r>
    </w:p>
  </w:endnote>
  <w:endnote w:type="continuationNotice" w:id="1">
    <w:p w14:paraId="0F324D20" w14:textId="77777777" w:rsidR="00D806F2" w:rsidRDefault="00D806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15D9" w14:textId="5F3EED1B" w:rsidR="00A45FC1" w:rsidRPr="00F27903" w:rsidRDefault="00A45FC1" w:rsidP="00F27903">
    <w:pPr>
      <w:pStyle w:val="Noga"/>
      <w:rPr>
        <w:rFonts w:ascii="Arial" w:hAnsi="Arial" w:cs="Arial"/>
        <w:b/>
        <w:sz w:val="48"/>
      </w:rPr>
    </w:pPr>
    <w:r w:rsidRPr="00F27903">
      <w:rPr>
        <w:rFonts w:ascii="Arial" w:hAnsi="Arial" w:cs="Arial"/>
        <w:b/>
        <w:sz w:val="48"/>
      </w:rPr>
      <w:t>SL</w:t>
    </w:r>
    <w:r w:rsidRPr="00F27903">
      <w:rPr>
        <w:rFonts w:ascii="Arial" w:hAnsi="Arial" w:cs="Arial"/>
        <w:b/>
        <w:sz w:val="48"/>
      </w:rPr>
      <w:tab/>
    </w:r>
    <w:r>
      <w:fldChar w:fldCharType="begin"/>
    </w:r>
    <w:r>
      <w:instrText xml:space="preserve"> PAGE  \* MERGEFORMAT </w:instrText>
    </w:r>
    <w:r>
      <w:fldChar w:fldCharType="separate"/>
    </w:r>
    <w:r w:rsidR="00991DD5">
      <w:rPr>
        <w:noProof/>
      </w:rPr>
      <w:t>18</w:t>
    </w:r>
    <w:r>
      <w:fldChar w:fldCharType="end"/>
    </w:r>
    <w:r>
      <w:tab/>
    </w:r>
    <w:r w:rsidRPr="00F27903">
      <w:tab/>
    </w:r>
    <w:r w:rsidRPr="00F27903">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2448" w14:textId="77777777" w:rsidR="00A45FC1" w:rsidRPr="00F27903" w:rsidRDefault="00A45FC1" w:rsidP="00F279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9077" w14:textId="77777777" w:rsidR="00D806F2" w:rsidRDefault="00D806F2" w:rsidP="00555224">
      <w:pPr>
        <w:spacing w:before="0" w:after="0"/>
      </w:pPr>
      <w:r>
        <w:separator/>
      </w:r>
    </w:p>
  </w:footnote>
  <w:footnote w:type="continuationSeparator" w:id="0">
    <w:p w14:paraId="3108B52E" w14:textId="77777777" w:rsidR="00D806F2" w:rsidRDefault="00D806F2" w:rsidP="00555224">
      <w:pPr>
        <w:spacing w:before="0" w:after="0"/>
      </w:pPr>
      <w:r>
        <w:continuationSeparator/>
      </w:r>
    </w:p>
  </w:footnote>
  <w:footnote w:type="continuationNotice" w:id="1">
    <w:p w14:paraId="559D710D" w14:textId="77777777" w:rsidR="00D806F2" w:rsidRDefault="00D806F2">
      <w:pPr>
        <w:spacing w:before="0" w:after="0"/>
      </w:pPr>
    </w:p>
  </w:footnote>
  <w:footnote w:id="2">
    <w:p w14:paraId="34EFB6C8" w14:textId="77777777" w:rsidR="00A45FC1" w:rsidRPr="00FD144E" w:rsidRDefault="00A45FC1">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6B43DB10" w14:textId="77777777" w:rsidR="00A45FC1" w:rsidRPr="00FD144E" w:rsidRDefault="00A45FC1">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2537EECC" w14:textId="77777777" w:rsidR="00A45FC1" w:rsidRPr="009F716C" w:rsidRDefault="00A45FC1">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DD0D6DB" w14:textId="77777777" w:rsidR="00A45FC1" w:rsidRPr="00FD144E" w:rsidRDefault="00A45FC1">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7FCF8C16" w14:textId="77777777" w:rsidR="00A45FC1" w:rsidRPr="00095E27" w:rsidRDefault="00A45FC1">
      <w:pPr>
        <w:pStyle w:val="Sprotnaopomba-besedilo"/>
        <w:rPr>
          <w:sz w:val="18"/>
        </w:rPr>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14:paraId="583E23FF" w14:textId="77777777" w:rsidR="00A45FC1" w:rsidRPr="00804A12" w:rsidRDefault="00A45FC1">
      <w:pPr>
        <w:pStyle w:val="Sprotnaopomba-besedilo"/>
      </w:pPr>
      <w:r>
        <w:rPr>
          <w:rStyle w:val="Sprotnaopomba-sklic"/>
        </w:rPr>
        <w:footnoteRef/>
      </w:r>
      <w:r>
        <w:tab/>
      </w:r>
      <w:r>
        <w:rPr>
          <w:sz w:val="18"/>
        </w:rPr>
        <w:t xml:space="preserve">Če je to ustrezno za ta namen, navedite informacije, ki spadajo na področje uporabe Uredbe (EU) 2021/1148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Podobno se, če je ustrezno, sklicujte na ocene ranljivosti, izvedene v skladu z Uredbo (EU) 2019/1896 Evropskega parlamenta in Sveta z dne 13. novembra 2019 o evropski mejni in obalni straži (UL L 295, 14.11.2019, str. 1), vključno s priporočili na podlagi schengenskih ocenjevanj in ocen ranljivosti </w:t>
      </w:r>
      <w:r>
        <w:rPr>
          <w:sz w:val="18"/>
          <w:shd w:val="clear" w:color="auto" w:fill="FFFFFF"/>
        </w:rPr>
        <w:t>ter povezanimi priporočili.</w:t>
      </w:r>
    </w:p>
  </w:footnote>
  <w:footnote w:id="8">
    <w:p w14:paraId="62F7DF27" w14:textId="77777777" w:rsidR="00A45FC1" w:rsidRPr="00FD144E" w:rsidRDefault="00A45FC1" w:rsidP="0053671E">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14:paraId="5A38BC20" w14:textId="77777777" w:rsidR="00A45FC1" w:rsidRPr="00095E27" w:rsidRDefault="00A45FC1">
      <w:pPr>
        <w:pStyle w:val="Sprotnaopomba-besedilo"/>
      </w:pPr>
      <w:r>
        <w:rPr>
          <w:rStyle w:val="Sprotnaopomba-sklic"/>
        </w:rPr>
        <w:footnoteRef/>
      </w:r>
      <w:r>
        <w:tab/>
      </w:r>
      <w:r>
        <w:rPr>
          <w:sz w:val="18"/>
        </w:rPr>
        <w:t>Dodana vrednost Unije je opredeljena kot ustvarjanje rezultatov, ki presegajo tisto, kar bi države članice dosegle same.</w:t>
      </w:r>
    </w:p>
  </w:footnote>
  <w:footnote w:id="10">
    <w:p w14:paraId="4D95F31D" w14:textId="77777777" w:rsidR="00A45FC1" w:rsidRPr="00095E27" w:rsidRDefault="00A45FC1">
      <w:pPr>
        <w:pStyle w:val="Sprotnaopomba-besedilo"/>
      </w:pPr>
      <w:r>
        <w:rPr>
          <w:rStyle w:val="Sprotnaopomba-sklic"/>
        </w:rPr>
        <w:footnoteRef/>
      </w:r>
      <w:r>
        <w:tab/>
      </w:r>
      <w:r>
        <w:rPr>
          <w:sz w:val="18"/>
        </w:rPr>
        <w:t>Na primer v zvezi z dejavnostmi javnega naročanja ali drugimi sprejetimi pripravljalnimi ukrepi.</w:t>
      </w:r>
    </w:p>
  </w:footnote>
  <w:footnote w:id="11">
    <w:p w14:paraId="0C9C7110" w14:textId="77777777" w:rsidR="00A45FC1" w:rsidRPr="00095E27" w:rsidRDefault="00A45FC1">
      <w:pPr>
        <w:pStyle w:val="Sprotnaopomba-besedilo"/>
      </w:pPr>
      <w:r>
        <w:rPr>
          <w:rStyle w:val="Sprotnaopomba-sklic"/>
        </w:rPr>
        <w:footnoteRef/>
      </w:r>
      <w:r>
        <w:tab/>
      </w:r>
      <w:r>
        <w:rPr>
          <w:sz w:val="18"/>
        </w:rPr>
        <w:t>Na primer v smislu dosežkov, učinkov, rezultatov itd.</w:t>
      </w:r>
    </w:p>
  </w:footnote>
  <w:footnote w:id="12">
    <w:p w14:paraId="68AA17E6" w14:textId="77777777" w:rsidR="00A45FC1" w:rsidRPr="00FD144E" w:rsidRDefault="00A45FC1">
      <w:pPr>
        <w:pStyle w:val="Sprotnaopomba-besedilo"/>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14:paraId="6063CF62" w14:textId="77777777" w:rsidR="00A45FC1" w:rsidRPr="00FD144E" w:rsidRDefault="00A45FC1">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14">
    <w:p w14:paraId="7017D3F7" w14:textId="77777777" w:rsidR="00A45FC1" w:rsidRPr="00FD144E" w:rsidRDefault="00A45FC1">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14:paraId="5D2BA41D" w14:textId="77777777" w:rsidR="00A45FC1" w:rsidRPr="00FD144E" w:rsidRDefault="00A45FC1">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6E43D043" w14:textId="77777777" w:rsidR="00A45FC1" w:rsidRPr="00F30684" w:rsidRDefault="00A45FC1">
      <w:pPr>
        <w:pStyle w:val="Sprotnaopomba-besedilo"/>
      </w:pPr>
      <w:r>
        <w:rPr>
          <w:rStyle w:val="Sprotnaopomba-sklic"/>
        </w:rPr>
        <w:footnoteRef/>
      </w:r>
      <w:r>
        <w:tab/>
      </w:r>
      <w:r>
        <w:rPr>
          <w:sz w:val="18"/>
          <w:shd w:val="clear" w:color="auto" w:fill="FFFFFF"/>
        </w:rPr>
        <w:t>Uredba (EU) 2018/1240 Evropskega parlamenta in Sveta z dne 12. septembra 2018 o vzpostavitvi Evropskega sistema za potovalne informacije in odobritve (ETIAS) ter spremembi uredb (EU) št. 1077/2011, (EU) št. 515/2014, (EU) 2016/399, (EU) 2016/1624 in (EU) 2017/2226 (UL L 236, 19.9.2018, str. 1).</w:t>
      </w:r>
    </w:p>
  </w:footnote>
  <w:footnote w:id="17">
    <w:p w14:paraId="3A99917A" w14:textId="77777777" w:rsidR="00A45FC1" w:rsidRPr="00FD144E" w:rsidRDefault="00A45FC1">
      <w:pPr>
        <w:pStyle w:val="Sprotnaopomba-besedilo"/>
      </w:pPr>
      <w:r>
        <w:rPr>
          <w:rStyle w:val="Sprotnaopomba-sklic"/>
        </w:rPr>
        <w:footnoteRef/>
      </w:r>
      <w:r>
        <w:tab/>
      </w:r>
      <w:r>
        <w:rPr>
          <w:sz w:val="18"/>
          <w:shd w:val="clear" w:color="auto" w:fill="FFFFFF"/>
        </w:rPr>
        <w:t>Uredba (EU) št. 515/2014 Evropskega parlamenta in Sveta z dne 16. aprila 2014 o vzpostavitvi instrumenta za finančno podporo na področju zunanjih meja in vizumov v okviru Sklada za notranjo varnost in o razveljavitvi Odločbe št. 574/2007/ES (UL L 150, 20.5.2014, str. 143).</w:t>
      </w:r>
    </w:p>
  </w:footnote>
  <w:footnote w:id="18">
    <w:p w14:paraId="306EC7F8" w14:textId="77777777" w:rsidR="00A45FC1" w:rsidRPr="00151819" w:rsidRDefault="00A45FC1">
      <w:pPr>
        <w:pStyle w:val="Sprotnaopomba-besedilo"/>
      </w:pPr>
      <w:r>
        <w:rPr>
          <w:rStyle w:val="Sprotnaopomba-sklic"/>
        </w:rPr>
        <w:footnoteRef/>
      </w:r>
      <w:r>
        <w:tab/>
      </w:r>
      <w:r>
        <w:rPr>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9">
    <w:p w14:paraId="24FA35FC" w14:textId="77777777" w:rsidR="00A45FC1" w:rsidRPr="00151819" w:rsidRDefault="00A45FC1">
      <w:pPr>
        <w:pStyle w:val="Sprotnaopomba-besedilo"/>
      </w:pPr>
      <w:r>
        <w:rPr>
          <w:rStyle w:val="Sprotnaopomba-sklic"/>
        </w:rPr>
        <w:footnoteRef/>
      </w:r>
      <w:r>
        <w:tab/>
      </w:r>
      <w:r>
        <w:rPr>
          <w:sz w:val="18"/>
        </w:rPr>
        <w:t>Zlasti instrument za sosedstvo ter razvojno in mednarodno sodelovanje (NDICI) – Globalna Evropa in instrument za predpristopno pomoč (IPA).</w:t>
      </w:r>
    </w:p>
  </w:footnote>
  <w:footnote w:id="20">
    <w:p w14:paraId="2DF5C390" w14:textId="77777777" w:rsidR="00A45FC1" w:rsidRPr="00151819" w:rsidRDefault="00A45FC1">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21">
    <w:p w14:paraId="485C3BEF" w14:textId="77777777" w:rsidR="00A45FC1" w:rsidRPr="00DF7BF3" w:rsidRDefault="00A45FC1" w:rsidP="00BE551E">
      <w:pPr>
        <w:pStyle w:val="Sprotnaopomba-besedilo"/>
        <w:rPr>
          <w:sz w:val="18"/>
        </w:rPr>
      </w:pPr>
      <w:r>
        <w:rPr>
          <w:rStyle w:val="Sprotnaopomba-sklic"/>
        </w:rPr>
        <w:footnoteRef/>
      </w:r>
      <w:r>
        <w:tab/>
      </w:r>
      <w:r>
        <w:rPr>
          <w:sz w:val="18"/>
        </w:rPr>
        <w:t>Uredba (EU) 2019/817 Evropskega parlamenta in Sveta z dne 20. maja 2019 o vzpostavitvi okvira za interoperabilnost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14:paraId="15742AC0" w14:textId="77777777" w:rsidR="00A45FC1" w:rsidRPr="00DF7BF3" w:rsidRDefault="00A45FC1" w:rsidP="00DF7BF3">
      <w:pPr>
        <w:pStyle w:val="Sprotnaopomba-besedilo"/>
        <w:ind w:firstLine="0"/>
        <w:rPr>
          <w:sz w:val="18"/>
        </w:rPr>
      </w:pPr>
      <w:r>
        <w:rPr>
          <w:sz w:val="18"/>
        </w:rPr>
        <w:t>Uredba (EU) 2019/818 Evropskega parlamenta in Sveta z dne 20. maja 2019 o vzpostavitvi okvira za interoperabilnost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 xml:space="preserve">). </w:t>
      </w:r>
    </w:p>
  </w:footnote>
  <w:footnote w:id="22">
    <w:p w14:paraId="2498C2F2" w14:textId="77777777" w:rsidR="00A45FC1" w:rsidRPr="009F716C" w:rsidRDefault="00A45FC1" w:rsidP="008671BE">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23">
    <w:p w14:paraId="137B846D" w14:textId="77777777" w:rsidR="00A45FC1" w:rsidRPr="009F716C" w:rsidRDefault="00A45FC1" w:rsidP="008671BE">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026803"/>
    <w:multiLevelType w:val="hybridMultilevel"/>
    <w:tmpl w:val="2772CD8E"/>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797133"/>
    <w:multiLevelType w:val="hybridMultilevel"/>
    <w:tmpl w:val="65C241AE"/>
    <w:lvl w:ilvl="0" w:tplc="823A672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10C7A90"/>
    <w:multiLevelType w:val="multilevel"/>
    <w:tmpl w:val="8CB2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6F7111"/>
    <w:multiLevelType w:val="hybridMultilevel"/>
    <w:tmpl w:val="E72AB59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9571ADD"/>
    <w:multiLevelType w:val="hybridMultilevel"/>
    <w:tmpl w:val="5E8CA15A"/>
    <w:lvl w:ilvl="0" w:tplc="8CD8A4F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2F2D1D8B"/>
    <w:multiLevelType w:val="hybridMultilevel"/>
    <w:tmpl w:val="DFB48834"/>
    <w:lvl w:ilvl="0" w:tplc="C0B2140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6A1FCA"/>
    <w:multiLevelType w:val="hybridMultilevel"/>
    <w:tmpl w:val="76FE7978"/>
    <w:lvl w:ilvl="0" w:tplc="E340A59C">
      <w:numFmt w:val="bullet"/>
      <w:lvlText w:val="-"/>
      <w:lvlJc w:val="left"/>
      <w:pPr>
        <w:ind w:left="720" w:hanging="360"/>
      </w:pPr>
      <w:rPr>
        <w:rFonts w:ascii="Arial" w:eastAsiaTheme="minorHAnsi" w:hAnsi="Arial" w:cs="Arial" w:hint="default"/>
        <w:color w:val="auto"/>
        <w:sz w:val="22"/>
      </w:rPr>
    </w:lvl>
    <w:lvl w:ilvl="1" w:tplc="0424000D">
      <w:start w:val="1"/>
      <w:numFmt w:val="bullet"/>
      <w:lvlText w:val=""/>
      <w:lvlJc w:val="left"/>
      <w:pPr>
        <w:ind w:left="1440" w:hanging="360"/>
      </w:pPr>
      <w:rPr>
        <w:rFonts w:ascii="Wingdings" w:hAnsi="Wingdings"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0B3E65"/>
    <w:multiLevelType w:val="hybridMultilevel"/>
    <w:tmpl w:val="AF6EC1C8"/>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4FDE303F"/>
    <w:multiLevelType w:val="hybridMultilevel"/>
    <w:tmpl w:val="5F78DDB8"/>
    <w:lvl w:ilvl="0" w:tplc="C8DEA0F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2F20AF"/>
    <w:multiLevelType w:val="hybridMultilevel"/>
    <w:tmpl w:val="50E6FAD6"/>
    <w:lvl w:ilvl="0" w:tplc="042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CD4792"/>
    <w:multiLevelType w:val="multilevel"/>
    <w:tmpl w:val="C9EC0F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9BD5720"/>
    <w:multiLevelType w:val="multilevel"/>
    <w:tmpl w:val="51DCD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BAF7025"/>
    <w:multiLevelType w:val="multilevel"/>
    <w:tmpl w:val="15D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3A2821"/>
    <w:multiLevelType w:val="hybridMultilevel"/>
    <w:tmpl w:val="559E169E"/>
    <w:lvl w:ilvl="0" w:tplc="0424000D">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971ADF"/>
    <w:multiLevelType w:val="hybridMultilevel"/>
    <w:tmpl w:val="336C2DC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50837475">
    <w:abstractNumId w:val="7"/>
  </w:num>
  <w:num w:numId="2" w16cid:durableId="1178271903">
    <w:abstractNumId w:val="5"/>
  </w:num>
  <w:num w:numId="3" w16cid:durableId="868104856">
    <w:abstractNumId w:val="4"/>
  </w:num>
  <w:num w:numId="4" w16cid:durableId="940839991">
    <w:abstractNumId w:val="3"/>
  </w:num>
  <w:num w:numId="5" w16cid:durableId="1142625157">
    <w:abstractNumId w:val="6"/>
  </w:num>
  <w:num w:numId="6" w16cid:durableId="1572692440">
    <w:abstractNumId w:val="2"/>
  </w:num>
  <w:num w:numId="7" w16cid:durableId="133179612">
    <w:abstractNumId w:val="1"/>
  </w:num>
  <w:num w:numId="8" w16cid:durableId="256255272">
    <w:abstractNumId w:val="0"/>
  </w:num>
  <w:num w:numId="9" w16cid:durableId="17986440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978989">
    <w:abstractNumId w:val="33"/>
    <w:lvlOverride w:ilvl="0">
      <w:startOverride w:val="1"/>
    </w:lvlOverride>
  </w:num>
  <w:num w:numId="11" w16cid:durableId="977610663">
    <w:abstractNumId w:val="33"/>
    <w:lvlOverride w:ilvl="0">
      <w:startOverride w:val="1"/>
    </w:lvlOverride>
  </w:num>
  <w:num w:numId="12" w16cid:durableId="734091676">
    <w:abstractNumId w:val="33"/>
  </w:num>
  <w:num w:numId="13" w16cid:durableId="139075238">
    <w:abstractNumId w:val="23"/>
  </w:num>
  <w:num w:numId="14" w16cid:durableId="2053339417">
    <w:abstractNumId w:val="36"/>
  </w:num>
  <w:num w:numId="15" w16cid:durableId="522282359">
    <w:abstractNumId w:val="18"/>
  </w:num>
  <w:num w:numId="16" w16cid:durableId="1343043359">
    <w:abstractNumId w:val="24"/>
  </w:num>
  <w:num w:numId="17" w16cid:durableId="495614299">
    <w:abstractNumId w:val="25"/>
  </w:num>
  <w:num w:numId="18" w16cid:durableId="768964587">
    <w:abstractNumId w:val="13"/>
  </w:num>
  <w:num w:numId="19" w16cid:durableId="2107072031">
    <w:abstractNumId w:val="35"/>
  </w:num>
  <w:num w:numId="20" w16cid:durableId="1621376324">
    <w:abstractNumId w:val="11"/>
  </w:num>
  <w:num w:numId="21" w16cid:durableId="1205093560">
    <w:abstractNumId w:val="26"/>
  </w:num>
  <w:num w:numId="22" w16cid:durableId="630090980">
    <w:abstractNumId w:val="31"/>
  </w:num>
  <w:num w:numId="23" w16cid:durableId="836775515">
    <w:abstractNumId w:val="32"/>
  </w:num>
  <w:num w:numId="24" w16cid:durableId="984234210">
    <w:abstractNumId w:val="17"/>
  </w:num>
  <w:num w:numId="25" w16cid:durableId="2055234576">
    <w:abstractNumId w:val="30"/>
  </w:num>
  <w:num w:numId="26" w16cid:durableId="975837883">
    <w:abstractNumId w:val="41"/>
  </w:num>
  <w:num w:numId="27" w16cid:durableId="734669671">
    <w:abstractNumId w:val="14"/>
  </w:num>
  <w:num w:numId="28" w16cid:durableId="2119793198">
    <w:abstractNumId w:val="20"/>
  </w:num>
  <w:num w:numId="29" w16cid:durableId="2089232397">
    <w:abstractNumId w:val="29"/>
  </w:num>
  <w:num w:numId="30" w16cid:durableId="444085782">
    <w:abstractNumId w:val="8"/>
  </w:num>
  <w:num w:numId="31" w16cid:durableId="939027155">
    <w:abstractNumId w:val="15"/>
  </w:num>
  <w:num w:numId="32" w16cid:durableId="1554123313">
    <w:abstractNumId w:val="21"/>
  </w:num>
  <w:num w:numId="33" w16cid:durableId="1589341005">
    <w:abstractNumId w:val="40"/>
  </w:num>
  <w:num w:numId="34" w16cid:durableId="116337132">
    <w:abstractNumId w:val="16"/>
  </w:num>
  <w:num w:numId="35" w16cid:durableId="1532454337">
    <w:abstractNumId w:val="27"/>
  </w:num>
  <w:num w:numId="36" w16cid:durableId="1924101663">
    <w:abstractNumId w:val="10"/>
  </w:num>
  <w:num w:numId="37" w16cid:durableId="675230439">
    <w:abstractNumId w:val="19"/>
  </w:num>
  <w:num w:numId="38" w16cid:durableId="856888134">
    <w:abstractNumId w:val="38"/>
  </w:num>
  <w:num w:numId="39" w16cid:durableId="391730618">
    <w:abstractNumId w:val="12"/>
  </w:num>
  <w:num w:numId="40" w16cid:durableId="479618226">
    <w:abstractNumId w:val="22"/>
  </w:num>
  <w:num w:numId="41" w16cid:durableId="100104661">
    <w:abstractNumId w:val="9"/>
  </w:num>
  <w:num w:numId="42" w16cid:durableId="2045596867">
    <w:abstractNumId w:val="39"/>
  </w:num>
  <w:num w:numId="43" w16cid:durableId="820969653">
    <w:abstractNumId w:val="28"/>
  </w:num>
  <w:num w:numId="44" w16cid:durableId="1353528456">
    <w:abstractNumId w:val="34"/>
  </w:num>
  <w:num w:numId="45" w16cid:durableId="1694645391">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QCDateTime" w:val="2023-01-18 08:4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E062E4C1-AF33-4E60-8579-C303A275411F"/>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Instrumenta za finan\u269?no podporo za upravljanje meja in vizumsko politiko za programsko obdobje 2021\u8211?2027 v skladu z Uredbo (EU) 2021/1148"/>
    <w:docVar w:name="LW_OBJETACTEPRINCIPAL.CP" w:val="o določitvi predloge za letna poročila o smotrnosti Instrumenta za finančno podporo za upravljanje meja in vizumsko politiko za programsko obdobje 2021–2027 v skladu z Uredbo (EU) 2021/1148"/>
    <w:docVar w:name="LW_PART_NBR" w:val="1"/>
    <w:docVar w:name="LW_PART_NBR_TOTAL" w:val="1"/>
    <w:docVar w:name="LW_REF.INST.NEW" w:val="C"/>
    <w:docVar w:name="LW_REF.INST.NEW_ADOPTED" w:val="final"/>
    <w:docVar w:name="LW_REF.INST.NEW_TEXT" w:val="(2023) 56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1F97"/>
    <w:rsid w:val="00005CC5"/>
    <w:rsid w:val="000072A3"/>
    <w:rsid w:val="000133CF"/>
    <w:rsid w:val="00014F7C"/>
    <w:rsid w:val="0001528B"/>
    <w:rsid w:val="00015579"/>
    <w:rsid w:val="00015C4A"/>
    <w:rsid w:val="00017304"/>
    <w:rsid w:val="0002250F"/>
    <w:rsid w:val="00024EF9"/>
    <w:rsid w:val="00026E75"/>
    <w:rsid w:val="00027FAF"/>
    <w:rsid w:val="000372CF"/>
    <w:rsid w:val="00037F0B"/>
    <w:rsid w:val="000459A3"/>
    <w:rsid w:val="00046462"/>
    <w:rsid w:val="00053829"/>
    <w:rsid w:val="0005568A"/>
    <w:rsid w:val="00065180"/>
    <w:rsid w:val="00070021"/>
    <w:rsid w:val="00075EDB"/>
    <w:rsid w:val="000776BD"/>
    <w:rsid w:val="000778B6"/>
    <w:rsid w:val="000803A7"/>
    <w:rsid w:val="00080B5C"/>
    <w:rsid w:val="000812AF"/>
    <w:rsid w:val="00081CCF"/>
    <w:rsid w:val="00083808"/>
    <w:rsid w:val="00083BA7"/>
    <w:rsid w:val="00083CBC"/>
    <w:rsid w:val="000858E5"/>
    <w:rsid w:val="00085A16"/>
    <w:rsid w:val="00085D54"/>
    <w:rsid w:val="00090285"/>
    <w:rsid w:val="000903CC"/>
    <w:rsid w:val="00091AD6"/>
    <w:rsid w:val="00091AF0"/>
    <w:rsid w:val="0009333F"/>
    <w:rsid w:val="000934B7"/>
    <w:rsid w:val="00093DFB"/>
    <w:rsid w:val="00095E27"/>
    <w:rsid w:val="0009616E"/>
    <w:rsid w:val="0009741A"/>
    <w:rsid w:val="000A0779"/>
    <w:rsid w:val="000A273D"/>
    <w:rsid w:val="000A7F56"/>
    <w:rsid w:val="000B3480"/>
    <w:rsid w:val="000B4F3E"/>
    <w:rsid w:val="000B526B"/>
    <w:rsid w:val="000B6DA6"/>
    <w:rsid w:val="000C122F"/>
    <w:rsid w:val="000C1A45"/>
    <w:rsid w:val="000C2574"/>
    <w:rsid w:val="000C4CC6"/>
    <w:rsid w:val="000D2BA1"/>
    <w:rsid w:val="000D44D0"/>
    <w:rsid w:val="000E16B2"/>
    <w:rsid w:val="000E2FB0"/>
    <w:rsid w:val="000E33A0"/>
    <w:rsid w:val="000E4E7E"/>
    <w:rsid w:val="000E64F3"/>
    <w:rsid w:val="000F1C58"/>
    <w:rsid w:val="000F434E"/>
    <w:rsid w:val="001006A2"/>
    <w:rsid w:val="001015BB"/>
    <w:rsid w:val="001042B2"/>
    <w:rsid w:val="00104E34"/>
    <w:rsid w:val="00105F4B"/>
    <w:rsid w:val="0010693A"/>
    <w:rsid w:val="001077B4"/>
    <w:rsid w:val="00111085"/>
    <w:rsid w:val="0011143B"/>
    <w:rsid w:val="00111D07"/>
    <w:rsid w:val="0011378A"/>
    <w:rsid w:val="001139C0"/>
    <w:rsid w:val="00115DD8"/>
    <w:rsid w:val="00117E08"/>
    <w:rsid w:val="00122018"/>
    <w:rsid w:val="00122E97"/>
    <w:rsid w:val="00125766"/>
    <w:rsid w:val="00130970"/>
    <w:rsid w:val="001320D1"/>
    <w:rsid w:val="00134B90"/>
    <w:rsid w:val="00135D69"/>
    <w:rsid w:val="00136DD5"/>
    <w:rsid w:val="00141E24"/>
    <w:rsid w:val="00142038"/>
    <w:rsid w:val="00142404"/>
    <w:rsid w:val="00142ACB"/>
    <w:rsid w:val="00143440"/>
    <w:rsid w:val="0014670F"/>
    <w:rsid w:val="00151819"/>
    <w:rsid w:val="00152894"/>
    <w:rsid w:val="00153209"/>
    <w:rsid w:val="001540DD"/>
    <w:rsid w:val="00154309"/>
    <w:rsid w:val="0015448D"/>
    <w:rsid w:val="00154541"/>
    <w:rsid w:val="00173DC1"/>
    <w:rsid w:val="001772E2"/>
    <w:rsid w:val="00180C7E"/>
    <w:rsid w:val="00181A3F"/>
    <w:rsid w:val="00183B38"/>
    <w:rsid w:val="00190F0B"/>
    <w:rsid w:val="0019152D"/>
    <w:rsid w:val="0019378A"/>
    <w:rsid w:val="00193E2B"/>
    <w:rsid w:val="00197021"/>
    <w:rsid w:val="001A1F71"/>
    <w:rsid w:val="001A292A"/>
    <w:rsid w:val="001A685B"/>
    <w:rsid w:val="001B0FD1"/>
    <w:rsid w:val="001B7D58"/>
    <w:rsid w:val="001C0807"/>
    <w:rsid w:val="001C0998"/>
    <w:rsid w:val="001C127A"/>
    <w:rsid w:val="001C13AA"/>
    <w:rsid w:val="001C1609"/>
    <w:rsid w:val="001C1E55"/>
    <w:rsid w:val="001C4994"/>
    <w:rsid w:val="001C6967"/>
    <w:rsid w:val="001D175D"/>
    <w:rsid w:val="001D6E2E"/>
    <w:rsid w:val="001E0475"/>
    <w:rsid w:val="001E0672"/>
    <w:rsid w:val="001E14D1"/>
    <w:rsid w:val="001E3E4B"/>
    <w:rsid w:val="001E42FD"/>
    <w:rsid w:val="001E5F94"/>
    <w:rsid w:val="001E7C93"/>
    <w:rsid w:val="001F1131"/>
    <w:rsid w:val="001F2147"/>
    <w:rsid w:val="001F4B12"/>
    <w:rsid w:val="001F71DC"/>
    <w:rsid w:val="00200C0C"/>
    <w:rsid w:val="0020278D"/>
    <w:rsid w:val="00202C38"/>
    <w:rsid w:val="00207477"/>
    <w:rsid w:val="002149E0"/>
    <w:rsid w:val="002166C4"/>
    <w:rsid w:val="00216D79"/>
    <w:rsid w:val="002229DC"/>
    <w:rsid w:val="00222E4D"/>
    <w:rsid w:val="0023019F"/>
    <w:rsid w:val="00233356"/>
    <w:rsid w:val="00234273"/>
    <w:rsid w:val="00235298"/>
    <w:rsid w:val="00236574"/>
    <w:rsid w:val="0023755C"/>
    <w:rsid w:val="00244632"/>
    <w:rsid w:val="00244A46"/>
    <w:rsid w:val="00250914"/>
    <w:rsid w:val="00251735"/>
    <w:rsid w:val="002543DE"/>
    <w:rsid w:val="002547ED"/>
    <w:rsid w:val="00254824"/>
    <w:rsid w:val="00254A93"/>
    <w:rsid w:val="00255FA8"/>
    <w:rsid w:val="0025781C"/>
    <w:rsid w:val="00260538"/>
    <w:rsid w:val="00260785"/>
    <w:rsid w:val="00264651"/>
    <w:rsid w:val="00265784"/>
    <w:rsid w:val="00266741"/>
    <w:rsid w:val="00267706"/>
    <w:rsid w:val="00270712"/>
    <w:rsid w:val="00271400"/>
    <w:rsid w:val="00277AF0"/>
    <w:rsid w:val="00277E24"/>
    <w:rsid w:val="002800A7"/>
    <w:rsid w:val="002800B6"/>
    <w:rsid w:val="002800DD"/>
    <w:rsid w:val="00284CFA"/>
    <w:rsid w:val="00285046"/>
    <w:rsid w:val="0028620A"/>
    <w:rsid w:val="00291D52"/>
    <w:rsid w:val="002922A2"/>
    <w:rsid w:val="00296314"/>
    <w:rsid w:val="002975BA"/>
    <w:rsid w:val="002A1FE3"/>
    <w:rsid w:val="002A320B"/>
    <w:rsid w:val="002A4529"/>
    <w:rsid w:val="002A6B7D"/>
    <w:rsid w:val="002B2318"/>
    <w:rsid w:val="002B4C92"/>
    <w:rsid w:val="002B5086"/>
    <w:rsid w:val="002C4A46"/>
    <w:rsid w:val="002C60F2"/>
    <w:rsid w:val="002D571C"/>
    <w:rsid w:val="002E13C5"/>
    <w:rsid w:val="002E2C77"/>
    <w:rsid w:val="002E355D"/>
    <w:rsid w:val="002E5A3B"/>
    <w:rsid w:val="002F14B3"/>
    <w:rsid w:val="002F1935"/>
    <w:rsid w:val="002F1D29"/>
    <w:rsid w:val="002F5106"/>
    <w:rsid w:val="002F567C"/>
    <w:rsid w:val="003003B7"/>
    <w:rsid w:val="00304F68"/>
    <w:rsid w:val="00305958"/>
    <w:rsid w:val="0031208D"/>
    <w:rsid w:val="0031211D"/>
    <w:rsid w:val="003158EB"/>
    <w:rsid w:val="00320B82"/>
    <w:rsid w:val="00321F2D"/>
    <w:rsid w:val="0032373D"/>
    <w:rsid w:val="00323AA1"/>
    <w:rsid w:val="00323D5A"/>
    <w:rsid w:val="00327883"/>
    <w:rsid w:val="00331956"/>
    <w:rsid w:val="00332A4B"/>
    <w:rsid w:val="00333222"/>
    <w:rsid w:val="0033425D"/>
    <w:rsid w:val="00335890"/>
    <w:rsid w:val="00336496"/>
    <w:rsid w:val="00342129"/>
    <w:rsid w:val="00343769"/>
    <w:rsid w:val="00343995"/>
    <w:rsid w:val="003459B8"/>
    <w:rsid w:val="00347EE8"/>
    <w:rsid w:val="0035085A"/>
    <w:rsid w:val="00351C18"/>
    <w:rsid w:val="0035484F"/>
    <w:rsid w:val="00355929"/>
    <w:rsid w:val="0036026D"/>
    <w:rsid w:val="00360A6E"/>
    <w:rsid w:val="003628E3"/>
    <w:rsid w:val="00362AE4"/>
    <w:rsid w:val="00363261"/>
    <w:rsid w:val="003638A1"/>
    <w:rsid w:val="003651F7"/>
    <w:rsid w:val="00366B0F"/>
    <w:rsid w:val="0037290B"/>
    <w:rsid w:val="00373A05"/>
    <w:rsid w:val="0037403D"/>
    <w:rsid w:val="003760FD"/>
    <w:rsid w:val="003778B1"/>
    <w:rsid w:val="003923CA"/>
    <w:rsid w:val="00392A8C"/>
    <w:rsid w:val="003945F3"/>
    <w:rsid w:val="0039481C"/>
    <w:rsid w:val="003A14BE"/>
    <w:rsid w:val="003A665C"/>
    <w:rsid w:val="003A66D5"/>
    <w:rsid w:val="003A6A89"/>
    <w:rsid w:val="003B217D"/>
    <w:rsid w:val="003B616F"/>
    <w:rsid w:val="003B706A"/>
    <w:rsid w:val="003B7598"/>
    <w:rsid w:val="003C03E3"/>
    <w:rsid w:val="003C4DCD"/>
    <w:rsid w:val="003D0D00"/>
    <w:rsid w:val="003D54A1"/>
    <w:rsid w:val="003E338B"/>
    <w:rsid w:val="003E36B0"/>
    <w:rsid w:val="003E4922"/>
    <w:rsid w:val="003E49B2"/>
    <w:rsid w:val="003E754D"/>
    <w:rsid w:val="003E7D66"/>
    <w:rsid w:val="003E7F9C"/>
    <w:rsid w:val="003F712B"/>
    <w:rsid w:val="00400A09"/>
    <w:rsid w:val="00402349"/>
    <w:rsid w:val="00402DEB"/>
    <w:rsid w:val="0040327C"/>
    <w:rsid w:val="00405D43"/>
    <w:rsid w:val="00407A72"/>
    <w:rsid w:val="004108D7"/>
    <w:rsid w:val="00410DEC"/>
    <w:rsid w:val="00411367"/>
    <w:rsid w:val="0041224B"/>
    <w:rsid w:val="00417407"/>
    <w:rsid w:val="0041789F"/>
    <w:rsid w:val="00420EC1"/>
    <w:rsid w:val="00435A0C"/>
    <w:rsid w:val="004371FD"/>
    <w:rsid w:val="00437336"/>
    <w:rsid w:val="004374D7"/>
    <w:rsid w:val="00437D01"/>
    <w:rsid w:val="00437D7F"/>
    <w:rsid w:val="004414E6"/>
    <w:rsid w:val="00442783"/>
    <w:rsid w:val="0044327D"/>
    <w:rsid w:val="00443DAA"/>
    <w:rsid w:val="0044515F"/>
    <w:rsid w:val="00445597"/>
    <w:rsid w:val="004462E4"/>
    <w:rsid w:val="00447E0A"/>
    <w:rsid w:val="004522A3"/>
    <w:rsid w:val="004548DC"/>
    <w:rsid w:val="004560F7"/>
    <w:rsid w:val="00461E5F"/>
    <w:rsid w:val="00462F73"/>
    <w:rsid w:val="004630E2"/>
    <w:rsid w:val="00475B8F"/>
    <w:rsid w:val="00481574"/>
    <w:rsid w:val="0048218B"/>
    <w:rsid w:val="004826CD"/>
    <w:rsid w:val="004827CC"/>
    <w:rsid w:val="00486B4E"/>
    <w:rsid w:val="00490445"/>
    <w:rsid w:val="0049684A"/>
    <w:rsid w:val="0049785B"/>
    <w:rsid w:val="004A30F9"/>
    <w:rsid w:val="004A31AE"/>
    <w:rsid w:val="004A6D1D"/>
    <w:rsid w:val="004B03FA"/>
    <w:rsid w:val="004B053D"/>
    <w:rsid w:val="004B3767"/>
    <w:rsid w:val="004B3C93"/>
    <w:rsid w:val="004B51DB"/>
    <w:rsid w:val="004B5C03"/>
    <w:rsid w:val="004C110C"/>
    <w:rsid w:val="004C63FA"/>
    <w:rsid w:val="004D6C62"/>
    <w:rsid w:val="004D7779"/>
    <w:rsid w:val="004E137F"/>
    <w:rsid w:val="004E2A06"/>
    <w:rsid w:val="004E51B6"/>
    <w:rsid w:val="004F00F8"/>
    <w:rsid w:val="004F0A2D"/>
    <w:rsid w:val="004F1E95"/>
    <w:rsid w:val="004F202D"/>
    <w:rsid w:val="004F5E71"/>
    <w:rsid w:val="004F7CFB"/>
    <w:rsid w:val="005000D5"/>
    <w:rsid w:val="0050611C"/>
    <w:rsid w:val="00512D2F"/>
    <w:rsid w:val="00513ADE"/>
    <w:rsid w:val="00515026"/>
    <w:rsid w:val="00520A2F"/>
    <w:rsid w:val="00520AF6"/>
    <w:rsid w:val="0052377A"/>
    <w:rsid w:val="00523A9D"/>
    <w:rsid w:val="00523DE2"/>
    <w:rsid w:val="00524B9B"/>
    <w:rsid w:val="00525E5D"/>
    <w:rsid w:val="00531344"/>
    <w:rsid w:val="00532177"/>
    <w:rsid w:val="00535AC2"/>
    <w:rsid w:val="005363A0"/>
    <w:rsid w:val="005365AB"/>
    <w:rsid w:val="0053671E"/>
    <w:rsid w:val="00540775"/>
    <w:rsid w:val="00543793"/>
    <w:rsid w:val="0054449F"/>
    <w:rsid w:val="00545857"/>
    <w:rsid w:val="00552015"/>
    <w:rsid w:val="00552A8B"/>
    <w:rsid w:val="005537AB"/>
    <w:rsid w:val="00555224"/>
    <w:rsid w:val="00555916"/>
    <w:rsid w:val="00561E3E"/>
    <w:rsid w:val="00562738"/>
    <w:rsid w:val="0056447F"/>
    <w:rsid w:val="00571255"/>
    <w:rsid w:val="0057136B"/>
    <w:rsid w:val="005809E2"/>
    <w:rsid w:val="00582244"/>
    <w:rsid w:val="0058305A"/>
    <w:rsid w:val="00584E8C"/>
    <w:rsid w:val="00585536"/>
    <w:rsid w:val="005856EF"/>
    <w:rsid w:val="00591AB0"/>
    <w:rsid w:val="0059250C"/>
    <w:rsid w:val="00593DD3"/>
    <w:rsid w:val="005962DB"/>
    <w:rsid w:val="005A1285"/>
    <w:rsid w:val="005A3D19"/>
    <w:rsid w:val="005A64CB"/>
    <w:rsid w:val="005B0FF3"/>
    <w:rsid w:val="005B15FF"/>
    <w:rsid w:val="005B1BD6"/>
    <w:rsid w:val="005B5B8B"/>
    <w:rsid w:val="005B69E9"/>
    <w:rsid w:val="005C02C1"/>
    <w:rsid w:val="005C15BF"/>
    <w:rsid w:val="005C1DB7"/>
    <w:rsid w:val="005C1FEA"/>
    <w:rsid w:val="005C47C3"/>
    <w:rsid w:val="005C62A3"/>
    <w:rsid w:val="005E2B44"/>
    <w:rsid w:val="005E39AF"/>
    <w:rsid w:val="005E3B5B"/>
    <w:rsid w:val="005E4B96"/>
    <w:rsid w:val="005E568E"/>
    <w:rsid w:val="005F06A7"/>
    <w:rsid w:val="005F3499"/>
    <w:rsid w:val="0061234B"/>
    <w:rsid w:val="006140C2"/>
    <w:rsid w:val="0061513D"/>
    <w:rsid w:val="00620513"/>
    <w:rsid w:val="00622F52"/>
    <w:rsid w:val="00623FB7"/>
    <w:rsid w:val="006240C5"/>
    <w:rsid w:val="00630A5C"/>
    <w:rsid w:val="00635C75"/>
    <w:rsid w:val="00636FE6"/>
    <w:rsid w:val="00637D03"/>
    <w:rsid w:val="00646794"/>
    <w:rsid w:val="00656EC7"/>
    <w:rsid w:val="00662274"/>
    <w:rsid w:val="00681D27"/>
    <w:rsid w:val="006821FE"/>
    <w:rsid w:val="00683DBB"/>
    <w:rsid w:val="006850C6"/>
    <w:rsid w:val="00694F0C"/>
    <w:rsid w:val="0069511F"/>
    <w:rsid w:val="006968E5"/>
    <w:rsid w:val="00696DB1"/>
    <w:rsid w:val="006A366B"/>
    <w:rsid w:val="006A41E2"/>
    <w:rsid w:val="006A4B05"/>
    <w:rsid w:val="006A64A2"/>
    <w:rsid w:val="006A7366"/>
    <w:rsid w:val="006B053D"/>
    <w:rsid w:val="006B1152"/>
    <w:rsid w:val="006B4337"/>
    <w:rsid w:val="006B5B67"/>
    <w:rsid w:val="006B67FE"/>
    <w:rsid w:val="006C0D1D"/>
    <w:rsid w:val="006C5C3B"/>
    <w:rsid w:val="006C72C6"/>
    <w:rsid w:val="006C7A9E"/>
    <w:rsid w:val="006C7DB6"/>
    <w:rsid w:val="006D05D8"/>
    <w:rsid w:val="006D0CC4"/>
    <w:rsid w:val="006D27E6"/>
    <w:rsid w:val="006D3501"/>
    <w:rsid w:val="006D67D2"/>
    <w:rsid w:val="006E268C"/>
    <w:rsid w:val="006E2DD3"/>
    <w:rsid w:val="006E6884"/>
    <w:rsid w:val="006F0E6B"/>
    <w:rsid w:val="006F1E13"/>
    <w:rsid w:val="006F3C12"/>
    <w:rsid w:val="006F486A"/>
    <w:rsid w:val="006F5ACE"/>
    <w:rsid w:val="006F64DA"/>
    <w:rsid w:val="00701C55"/>
    <w:rsid w:val="007027D4"/>
    <w:rsid w:val="00705779"/>
    <w:rsid w:val="00707356"/>
    <w:rsid w:val="0071304E"/>
    <w:rsid w:val="00713A3E"/>
    <w:rsid w:val="00714C40"/>
    <w:rsid w:val="007161C6"/>
    <w:rsid w:val="0071685A"/>
    <w:rsid w:val="007215C1"/>
    <w:rsid w:val="00721837"/>
    <w:rsid w:val="0072518C"/>
    <w:rsid w:val="00725598"/>
    <w:rsid w:val="00726B4C"/>
    <w:rsid w:val="00726D0A"/>
    <w:rsid w:val="0073178E"/>
    <w:rsid w:val="00731E01"/>
    <w:rsid w:val="00734F22"/>
    <w:rsid w:val="0074216E"/>
    <w:rsid w:val="00742497"/>
    <w:rsid w:val="007459ED"/>
    <w:rsid w:val="007478DA"/>
    <w:rsid w:val="00747C96"/>
    <w:rsid w:val="007532F9"/>
    <w:rsid w:val="00756B8B"/>
    <w:rsid w:val="00760682"/>
    <w:rsid w:val="007609D2"/>
    <w:rsid w:val="00761619"/>
    <w:rsid w:val="00761FFD"/>
    <w:rsid w:val="00766BB4"/>
    <w:rsid w:val="0077354C"/>
    <w:rsid w:val="00774E62"/>
    <w:rsid w:val="0077621B"/>
    <w:rsid w:val="007775C9"/>
    <w:rsid w:val="0078295D"/>
    <w:rsid w:val="0078415E"/>
    <w:rsid w:val="0078471E"/>
    <w:rsid w:val="007850C9"/>
    <w:rsid w:val="0078515C"/>
    <w:rsid w:val="00785B4C"/>
    <w:rsid w:val="007900D3"/>
    <w:rsid w:val="007903DC"/>
    <w:rsid w:val="00790F74"/>
    <w:rsid w:val="007922E6"/>
    <w:rsid w:val="00794F0B"/>
    <w:rsid w:val="007A384B"/>
    <w:rsid w:val="007A3DA7"/>
    <w:rsid w:val="007B0547"/>
    <w:rsid w:val="007B072A"/>
    <w:rsid w:val="007B1C55"/>
    <w:rsid w:val="007B6E22"/>
    <w:rsid w:val="007B71B0"/>
    <w:rsid w:val="007C4C06"/>
    <w:rsid w:val="007C672A"/>
    <w:rsid w:val="007C740E"/>
    <w:rsid w:val="007C745F"/>
    <w:rsid w:val="007C7AAC"/>
    <w:rsid w:val="007D0D22"/>
    <w:rsid w:val="007D11F7"/>
    <w:rsid w:val="007D7800"/>
    <w:rsid w:val="007E005F"/>
    <w:rsid w:val="007E2F63"/>
    <w:rsid w:val="007E3264"/>
    <w:rsid w:val="007E39E8"/>
    <w:rsid w:val="007E49C7"/>
    <w:rsid w:val="007F17A7"/>
    <w:rsid w:val="007F1A68"/>
    <w:rsid w:val="007F5B84"/>
    <w:rsid w:val="007F6345"/>
    <w:rsid w:val="008008F2"/>
    <w:rsid w:val="00800E67"/>
    <w:rsid w:val="00802E35"/>
    <w:rsid w:val="00804283"/>
    <w:rsid w:val="00804A12"/>
    <w:rsid w:val="00804C9E"/>
    <w:rsid w:val="00805D68"/>
    <w:rsid w:val="00806621"/>
    <w:rsid w:val="0081065D"/>
    <w:rsid w:val="00810B93"/>
    <w:rsid w:val="00811F25"/>
    <w:rsid w:val="00813DBC"/>
    <w:rsid w:val="00817DCD"/>
    <w:rsid w:val="00822740"/>
    <w:rsid w:val="00824438"/>
    <w:rsid w:val="00830E61"/>
    <w:rsid w:val="00831111"/>
    <w:rsid w:val="00836645"/>
    <w:rsid w:val="00836C96"/>
    <w:rsid w:val="00841F95"/>
    <w:rsid w:val="00845587"/>
    <w:rsid w:val="00850414"/>
    <w:rsid w:val="0085152A"/>
    <w:rsid w:val="00857C22"/>
    <w:rsid w:val="00860CF3"/>
    <w:rsid w:val="0086142E"/>
    <w:rsid w:val="00865122"/>
    <w:rsid w:val="008671BE"/>
    <w:rsid w:val="00867816"/>
    <w:rsid w:val="008707B5"/>
    <w:rsid w:val="00872563"/>
    <w:rsid w:val="00874636"/>
    <w:rsid w:val="00874AA0"/>
    <w:rsid w:val="0087657F"/>
    <w:rsid w:val="00876FAC"/>
    <w:rsid w:val="00877EF9"/>
    <w:rsid w:val="0088135F"/>
    <w:rsid w:val="00885D87"/>
    <w:rsid w:val="008902E6"/>
    <w:rsid w:val="008908D4"/>
    <w:rsid w:val="00890E5A"/>
    <w:rsid w:val="00891DBC"/>
    <w:rsid w:val="00892376"/>
    <w:rsid w:val="00892449"/>
    <w:rsid w:val="008932CE"/>
    <w:rsid w:val="00893A65"/>
    <w:rsid w:val="00893E4E"/>
    <w:rsid w:val="00894A2F"/>
    <w:rsid w:val="0089697F"/>
    <w:rsid w:val="008A02D6"/>
    <w:rsid w:val="008A18F9"/>
    <w:rsid w:val="008A200B"/>
    <w:rsid w:val="008A26CA"/>
    <w:rsid w:val="008A4D40"/>
    <w:rsid w:val="008A704D"/>
    <w:rsid w:val="008B1A84"/>
    <w:rsid w:val="008B27C2"/>
    <w:rsid w:val="008B2FB4"/>
    <w:rsid w:val="008B7E2E"/>
    <w:rsid w:val="008B7F82"/>
    <w:rsid w:val="008C0695"/>
    <w:rsid w:val="008C0AA5"/>
    <w:rsid w:val="008C1116"/>
    <w:rsid w:val="008C3D9E"/>
    <w:rsid w:val="008C3E02"/>
    <w:rsid w:val="008C62C8"/>
    <w:rsid w:val="008C6A56"/>
    <w:rsid w:val="008C6B55"/>
    <w:rsid w:val="008D1226"/>
    <w:rsid w:val="008D2090"/>
    <w:rsid w:val="008D327B"/>
    <w:rsid w:val="008D3763"/>
    <w:rsid w:val="008D39CD"/>
    <w:rsid w:val="008D3E9F"/>
    <w:rsid w:val="008D5B86"/>
    <w:rsid w:val="008D6919"/>
    <w:rsid w:val="008D6A9D"/>
    <w:rsid w:val="008E0564"/>
    <w:rsid w:val="008E1CAB"/>
    <w:rsid w:val="008E69CF"/>
    <w:rsid w:val="008E6DD6"/>
    <w:rsid w:val="008F0509"/>
    <w:rsid w:val="008F1DB4"/>
    <w:rsid w:val="008F4E6A"/>
    <w:rsid w:val="008F5019"/>
    <w:rsid w:val="008F6984"/>
    <w:rsid w:val="00900D70"/>
    <w:rsid w:val="009129F4"/>
    <w:rsid w:val="009137B8"/>
    <w:rsid w:val="00914B22"/>
    <w:rsid w:val="00914C1B"/>
    <w:rsid w:val="009170CA"/>
    <w:rsid w:val="00917A55"/>
    <w:rsid w:val="00921778"/>
    <w:rsid w:val="0092270D"/>
    <w:rsid w:val="00924933"/>
    <w:rsid w:val="00927926"/>
    <w:rsid w:val="00927A94"/>
    <w:rsid w:val="00930399"/>
    <w:rsid w:val="00930E48"/>
    <w:rsid w:val="00933FC4"/>
    <w:rsid w:val="009362A9"/>
    <w:rsid w:val="00940E4A"/>
    <w:rsid w:val="00943CAB"/>
    <w:rsid w:val="00945407"/>
    <w:rsid w:val="009462A4"/>
    <w:rsid w:val="00947F13"/>
    <w:rsid w:val="00951CE5"/>
    <w:rsid w:val="0095227B"/>
    <w:rsid w:val="00956638"/>
    <w:rsid w:val="00957530"/>
    <w:rsid w:val="00957881"/>
    <w:rsid w:val="00966640"/>
    <w:rsid w:val="009668A9"/>
    <w:rsid w:val="00967035"/>
    <w:rsid w:val="0097002C"/>
    <w:rsid w:val="00971D40"/>
    <w:rsid w:val="00972FC9"/>
    <w:rsid w:val="00982A84"/>
    <w:rsid w:val="009832F0"/>
    <w:rsid w:val="00983335"/>
    <w:rsid w:val="00983339"/>
    <w:rsid w:val="00985A5D"/>
    <w:rsid w:val="00991DD5"/>
    <w:rsid w:val="00991EAF"/>
    <w:rsid w:val="0099568B"/>
    <w:rsid w:val="00997669"/>
    <w:rsid w:val="009A48FE"/>
    <w:rsid w:val="009A5A49"/>
    <w:rsid w:val="009B2000"/>
    <w:rsid w:val="009B2E94"/>
    <w:rsid w:val="009B3E27"/>
    <w:rsid w:val="009C2E85"/>
    <w:rsid w:val="009C3846"/>
    <w:rsid w:val="009D2860"/>
    <w:rsid w:val="009D3A7D"/>
    <w:rsid w:val="009D6E8E"/>
    <w:rsid w:val="009D7228"/>
    <w:rsid w:val="009E7537"/>
    <w:rsid w:val="009E75AB"/>
    <w:rsid w:val="009F2252"/>
    <w:rsid w:val="009F716C"/>
    <w:rsid w:val="00A002B3"/>
    <w:rsid w:val="00A02CE9"/>
    <w:rsid w:val="00A02E89"/>
    <w:rsid w:val="00A0708A"/>
    <w:rsid w:val="00A115AE"/>
    <w:rsid w:val="00A11706"/>
    <w:rsid w:val="00A12DB1"/>
    <w:rsid w:val="00A13CEE"/>
    <w:rsid w:val="00A148D3"/>
    <w:rsid w:val="00A17780"/>
    <w:rsid w:val="00A21690"/>
    <w:rsid w:val="00A21743"/>
    <w:rsid w:val="00A21994"/>
    <w:rsid w:val="00A2271B"/>
    <w:rsid w:val="00A24854"/>
    <w:rsid w:val="00A27E34"/>
    <w:rsid w:val="00A31E26"/>
    <w:rsid w:val="00A3699A"/>
    <w:rsid w:val="00A37698"/>
    <w:rsid w:val="00A417FB"/>
    <w:rsid w:val="00A44C42"/>
    <w:rsid w:val="00A45FC1"/>
    <w:rsid w:val="00A5395E"/>
    <w:rsid w:val="00A61670"/>
    <w:rsid w:val="00A618AF"/>
    <w:rsid w:val="00A626D0"/>
    <w:rsid w:val="00A63E89"/>
    <w:rsid w:val="00A67CBD"/>
    <w:rsid w:val="00A71A3F"/>
    <w:rsid w:val="00A726FE"/>
    <w:rsid w:val="00A72A4F"/>
    <w:rsid w:val="00A72DAD"/>
    <w:rsid w:val="00A7322A"/>
    <w:rsid w:val="00A76A03"/>
    <w:rsid w:val="00A82CBD"/>
    <w:rsid w:val="00A847E6"/>
    <w:rsid w:val="00A94B82"/>
    <w:rsid w:val="00A97818"/>
    <w:rsid w:val="00AA2358"/>
    <w:rsid w:val="00AA5652"/>
    <w:rsid w:val="00AA5C87"/>
    <w:rsid w:val="00AA6283"/>
    <w:rsid w:val="00AA72E3"/>
    <w:rsid w:val="00AA782E"/>
    <w:rsid w:val="00AB0131"/>
    <w:rsid w:val="00AB4F2C"/>
    <w:rsid w:val="00AB4FA4"/>
    <w:rsid w:val="00AC191B"/>
    <w:rsid w:val="00AC4E78"/>
    <w:rsid w:val="00AC51D2"/>
    <w:rsid w:val="00AD0CF1"/>
    <w:rsid w:val="00AD502C"/>
    <w:rsid w:val="00AD5784"/>
    <w:rsid w:val="00AD69D6"/>
    <w:rsid w:val="00AE0ADB"/>
    <w:rsid w:val="00AE5793"/>
    <w:rsid w:val="00AE5A8C"/>
    <w:rsid w:val="00AE5AA2"/>
    <w:rsid w:val="00AE6411"/>
    <w:rsid w:val="00AE78DE"/>
    <w:rsid w:val="00AF1B5B"/>
    <w:rsid w:val="00AF2D41"/>
    <w:rsid w:val="00AF5A2E"/>
    <w:rsid w:val="00AF65B7"/>
    <w:rsid w:val="00AF6802"/>
    <w:rsid w:val="00AF78FB"/>
    <w:rsid w:val="00B00D91"/>
    <w:rsid w:val="00B03A44"/>
    <w:rsid w:val="00B043A6"/>
    <w:rsid w:val="00B07595"/>
    <w:rsid w:val="00B103F8"/>
    <w:rsid w:val="00B11FC9"/>
    <w:rsid w:val="00B12489"/>
    <w:rsid w:val="00B12F52"/>
    <w:rsid w:val="00B14CCD"/>
    <w:rsid w:val="00B15327"/>
    <w:rsid w:val="00B1711F"/>
    <w:rsid w:val="00B21A52"/>
    <w:rsid w:val="00B225B5"/>
    <w:rsid w:val="00B22BCD"/>
    <w:rsid w:val="00B234D2"/>
    <w:rsid w:val="00B2365F"/>
    <w:rsid w:val="00B25FBA"/>
    <w:rsid w:val="00B2641A"/>
    <w:rsid w:val="00B31877"/>
    <w:rsid w:val="00B31F1F"/>
    <w:rsid w:val="00B41C38"/>
    <w:rsid w:val="00B45AC7"/>
    <w:rsid w:val="00B51C20"/>
    <w:rsid w:val="00B52073"/>
    <w:rsid w:val="00B53969"/>
    <w:rsid w:val="00B54804"/>
    <w:rsid w:val="00B5488D"/>
    <w:rsid w:val="00B576A7"/>
    <w:rsid w:val="00B57823"/>
    <w:rsid w:val="00B60C80"/>
    <w:rsid w:val="00B62194"/>
    <w:rsid w:val="00B64C65"/>
    <w:rsid w:val="00B67D57"/>
    <w:rsid w:val="00B71583"/>
    <w:rsid w:val="00B72794"/>
    <w:rsid w:val="00B72842"/>
    <w:rsid w:val="00B72B08"/>
    <w:rsid w:val="00B72C4E"/>
    <w:rsid w:val="00B7425B"/>
    <w:rsid w:val="00B75806"/>
    <w:rsid w:val="00B80600"/>
    <w:rsid w:val="00B80D67"/>
    <w:rsid w:val="00B83642"/>
    <w:rsid w:val="00B84432"/>
    <w:rsid w:val="00B8466B"/>
    <w:rsid w:val="00B8569E"/>
    <w:rsid w:val="00B86258"/>
    <w:rsid w:val="00B913DF"/>
    <w:rsid w:val="00B93290"/>
    <w:rsid w:val="00B9780A"/>
    <w:rsid w:val="00BA1BE8"/>
    <w:rsid w:val="00BA6A94"/>
    <w:rsid w:val="00BA6E76"/>
    <w:rsid w:val="00BB0A1C"/>
    <w:rsid w:val="00BB5A02"/>
    <w:rsid w:val="00BC24B3"/>
    <w:rsid w:val="00BC3884"/>
    <w:rsid w:val="00BC4E1A"/>
    <w:rsid w:val="00BC4F78"/>
    <w:rsid w:val="00BC5F3E"/>
    <w:rsid w:val="00BC7BB1"/>
    <w:rsid w:val="00BD1D18"/>
    <w:rsid w:val="00BD1F48"/>
    <w:rsid w:val="00BD3A9A"/>
    <w:rsid w:val="00BD3CDA"/>
    <w:rsid w:val="00BD503B"/>
    <w:rsid w:val="00BD5A8A"/>
    <w:rsid w:val="00BD6918"/>
    <w:rsid w:val="00BE0854"/>
    <w:rsid w:val="00BE2A37"/>
    <w:rsid w:val="00BE4DB1"/>
    <w:rsid w:val="00BE53C8"/>
    <w:rsid w:val="00BE551E"/>
    <w:rsid w:val="00BE65E9"/>
    <w:rsid w:val="00BE662A"/>
    <w:rsid w:val="00BF0850"/>
    <w:rsid w:val="00BF2E5C"/>
    <w:rsid w:val="00BF58E2"/>
    <w:rsid w:val="00BF6305"/>
    <w:rsid w:val="00C04B31"/>
    <w:rsid w:val="00C04DB0"/>
    <w:rsid w:val="00C056EB"/>
    <w:rsid w:val="00C071D3"/>
    <w:rsid w:val="00C07548"/>
    <w:rsid w:val="00C150E0"/>
    <w:rsid w:val="00C20312"/>
    <w:rsid w:val="00C21D44"/>
    <w:rsid w:val="00C22CA9"/>
    <w:rsid w:val="00C22D54"/>
    <w:rsid w:val="00C247E2"/>
    <w:rsid w:val="00C24B42"/>
    <w:rsid w:val="00C24DA2"/>
    <w:rsid w:val="00C267A3"/>
    <w:rsid w:val="00C316BD"/>
    <w:rsid w:val="00C32F50"/>
    <w:rsid w:val="00C338CD"/>
    <w:rsid w:val="00C401C7"/>
    <w:rsid w:val="00C40797"/>
    <w:rsid w:val="00C42346"/>
    <w:rsid w:val="00C439D7"/>
    <w:rsid w:val="00C448AF"/>
    <w:rsid w:val="00C451F6"/>
    <w:rsid w:val="00C45A19"/>
    <w:rsid w:val="00C51C64"/>
    <w:rsid w:val="00C56E81"/>
    <w:rsid w:val="00C57730"/>
    <w:rsid w:val="00C61BA0"/>
    <w:rsid w:val="00C62604"/>
    <w:rsid w:val="00C629AE"/>
    <w:rsid w:val="00C679E0"/>
    <w:rsid w:val="00C70734"/>
    <w:rsid w:val="00C714E8"/>
    <w:rsid w:val="00C71B80"/>
    <w:rsid w:val="00C8307A"/>
    <w:rsid w:val="00C841D2"/>
    <w:rsid w:val="00C86949"/>
    <w:rsid w:val="00C86961"/>
    <w:rsid w:val="00C93E77"/>
    <w:rsid w:val="00C965F8"/>
    <w:rsid w:val="00CA1861"/>
    <w:rsid w:val="00CA394E"/>
    <w:rsid w:val="00CA4A64"/>
    <w:rsid w:val="00CA72EE"/>
    <w:rsid w:val="00CB2C09"/>
    <w:rsid w:val="00CB4E99"/>
    <w:rsid w:val="00CB565B"/>
    <w:rsid w:val="00CC40A0"/>
    <w:rsid w:val="00CC619E"/>
    <w:rsid w:val="00CC77AB"/>
    <w:rsid w:val="00CD048E"/>
    <w:rsid w:val="00CD3B24"/>
    <w:rsid w:val="00CD4CAA"/>
    <w:rsid w:val="00CD5C9A"/>
    <w:rsid w:val="00CE274F"/>
    <w:rsid w:val="00CE4185"/>
    <w:rsid w:val="00CE59B9"/>
    <w:rsid w:val="00CE6678"/>
    <w:rsid w:val="00CE68DE"/>
    <w:rsid w:val="00CE6C57"/>
    <w:rsid w:val="00CE6F79"/>
    <w:rsid w:val="00CE78CC"/>
    <w:rsid w:val="00CF3499"/>
    <w:rsid w:val="00CF524F"/>
    <w:rsid w:val="00CF67EC"/>
    <w:rsid w:val="00CF6F63"/>
    <w:rsid w:val="00CF73D2"/>
    <w:rsid w:val="00CF742E"/>
    <w:rsid w:val="00CF74E9"/>
    <w:rsid w:val="00D0054A"/>
    <w:rsid w:val="00D03CD0"/>
    <w:rsid w:val="00D0691F"/>
    <w:rsid w:val="00D07095"/>
    <w:rsid w:val="00D11EE6"/>
    <w:rsid w:val="00D138D3"/>
    <w:rsid w:val="00D139E5"/>
    <w:rsid w:val="00D15C67"/>
    <w:rsid w:val="00D15FD4"/>
    <w:rsid w:val="00D16F4C"/>
    <w:rsid w:val="00D171CD"/>
    <w:rsid w:val="00D17541"/>
    <w:rsid w:val="00D21661"/>
    <w:rsid w:val="00D23A6D"/>
    <w:rsid w:val="00D23B57"/>
    <w:rsid w:val="00D24F61"/>
    <w:rsid w:val="00D2663D"/>
    <w:rsid w:val="00D27059"/>
    <w:rsid w:val="00D27AD1"/>
    <w:rsid w:val="00D303A4"/>
    <w:rsid w:val="00D30870"/>
    <w:rsid w:val="00D34EBE"/>
    <w:rsid w:val="00D34FB3"/>
    <w:rsid w:val="00D36994"/>
    <w:rsid w:val="00D370E2"/>
    <w:rsid w:val="00D40864"/>
    <w:rsid w:val="00D40AED"/>
    <w:rsid w:val="00D40BA3"/>
    <w:rsid w:val="00D46BB0"/>
    <w:rsid w:val="00D52A61"/>
    <w:rsid w:val="00D569AB"/>
    <w:rsid w:val="00D608EC"/>
    <w:rsid w:val="00D6251B"/>
    <w:rsid w:val="00D63975"/>
    <w:rsid w:val="00D6590A"/>
    <w:rsid w:val="00D65A42"/>
    <w:rsid w:val="00D70BC5"/>
    <w:rsid w:val="00D7597C"/>
    <w:rsid w:val="00D7676F"/>
    <w:rsid w:val="00D76B19"/>
    <w:rsid w:val="00D806F2"/>
    <w:rsid w:val="00D821C7"/>
    <w:rsid w:val="00D8312A"/>
    <w:rsid w:val="00D840A7"/>
    <w:rsid w:val="00D851D7"/>
    <w:rsid w:val="00D856A3"/>
    <w:rsid w:val="00D911BC"/>
    <w:rsid w:val="00D92717"/>
    <w:rsid w:val="00D95A83"/>
    <w:rsid w:val="00DA0FFC"/>
    <w:rsid w:val="00DA11E5"/>
    <w:rsid w:val="00DA44BA"/>
    <w:rsid w:val="00DA70A3"/>
    <w:rsid w:val="00DB17CF"/>
    <w:rsid w:val="00DB4106"/>
    <w:rsid w:val="00DB4B0E"/>
    <w:rsid w:val="00DB6852"/>
    <w:rsid w:val="00DC1A17"/>
    <w:rsid w:val="00DC3C8A"/>
    <w:rsid w:val="00DD105A"/>
    <w:rsid w:val="00DD1128"/>
    <w:rsid w:val="00DD3108"/>
    <w:rsid w:val="00DD31FA"/>
    <w:rsid w:val="00DE17ED"/>
    <w:rsid w:val="00DE2722"/>
    <w:rsid w:val="00DE6181"/>
    <w:rsid w:val="00DF49E1"/>
    <w:rsid w:val="00DF68E6"/>
    <w:rsid w:val="00DF76B7"/>
    <w:rsid w:val="00DF77FD"/>
    <w:rsid w:val="00DF7BF3"/>
    <w:rsid w:val="00E00B9B"/>
    <w:rsid w:val="00E04A5C"/>
    <w:rsid w:val="00E11D68"/>
    <w:rsid w:val="00E20371"/>
    <w:rsid w:val="00E23C83"/>
    <w:rsid w:val="00E252AE"/>
    <w:rsid w:val="00E27C9A"/>
    <w:rsid w:val="00E304F0"/>
    <w:rsid w:val="00E31164"/>
    <w:rsid w:val="00E311E8"/>
    <w:rsid w:val="00E3390F"/>
    <w:rsid w:val="00E372E2"/>
    <w:rsid w:val="00E411D2"/>
    <w:rsid w:val="00E42D77"/>
    <w:rsid w:val="00E42FB0"/>
    <w:rsid w:val="00E43934"/>
    <w:rsid w:val="00E44BAB"/>
    <w:rsid w:val="00E45665"/>
    <w:rsid w:val="00E457CC"/>
    <w:rsid w:val="00E45982"/>
    <w:rsid w:val="00E460DE"/>
    <w:rsid w:val="00E52ED9"/>
    <w:rsid w:val="00E55D50"/>
    <w:rsid w:val="00E561A5"/>
    <w:rsid w:val="00E57726"/>
    <w:rsid w:val="00E60FB1"/>
    <w:rsid w:val="00E614FE"/>
    <w:rsid w:val="00E64B94"/>
    <w:rsid w:val="00E72199"/>
    <w:rsid w:val="00E75C18"/>
    <w:rsid w:val="00E80570"/>
    <w:rsid w:val="00E83E69"/>
    <w:rsid w:val="00E840B0"/>
    <w:rsid w:val="00E85A9C"/>
    <w:rsid w:val="00E9229D"/>
    <w:rsid w:val="00E92EAC"/>
    <w:rsid w:val="00E94434"/>
    <w:rsid w:val="00E9451D"/>
    <w:rsid w:val="00E9573D"/>
    <w:rsid w:val="00E9783C"/>
    <w:rsid w:val="00EA113A"/>
    <w:rsid w:val="00EA6949"/>
    <w:rsid w:val="00EA6DC3"/>
    <w:rsid w:val="00EA7986"/>
    <w:rsid w:val="00EB15FB"/>
    <w:rsid w:val="00EB20B4"/>
    <w:rsid w:val="00EB3142"/>
    <w:rsid w:val="00EB4DBF"/>
    <w:rsid w:val="00EC2E11"/>
    <w:rsid w:val="00EC37A9"/>
    <w:rsid w:val="00EC70A2"/>
    <w:rsid w:val="00ED111D"/>
    <w:rsid w:val="00ED2D48"/>
    <w:rsid w:val="00ED3594"/>
    <w:rsid w:val="00ED3E23"/>
    <w:rsid w:val="00ED45FA"/>
    <w:rsid w:val="00ED6A6E"/>
    <w:rsid w:val="00EE3846"/>
    <w:rsid w:val="00EE5052"/>
    <w:rsid w:val="00EE6F58"/>
    <w:rsid w:val="00EF1562"/>
    <w:rsid w:val="00F01533"/>
    <w:rsid w:val="00F01869"/>
    <w:rsid w:val="00F1081C"/>
    <w:rsid w:val="00F12B44"/>
    <w:rsid w:val="00F12CE1"/>
    <w:rsid w:val="00F1473E"/>
    <w:rsid w:val="00F16A60"/>
    <w:rsid w:val="00F20874"/>
    <w:rsid w:val="00F24F58"/>
    <w:rsid w:val="00F27053"/>
    <w:rsid w:val="00F27903"/>
    <w:rsid w:val="00F27E37"/>
    <w:rsid w:val="00F30684"/>
    <w:rsid w:val="00F31177"/>
    <w:rsid w:val="00F31724"/>
    <w:rsid w:val="00F3358C"/>
    <w:rsid w:val="00F34C75"/>
    <w:rsid w:val="00F37DD7"/>
    <w:rsid w:val="00F4010A"/>
    <w:rsid w:val="00F42C44"/>
    <w:rsid w:val="00F46BD5"/>
    <w:rsid w:val="00F46D57"/>
    <w:rsid w:val="00F47EA7"/>
    <w:rsid w:val="00F509E7"/>
    <w:rsid w:val="00F529BE"/>
    <w:rsid w:val="00F55119"/>
    <w:rsid w:val="00F55EDE"/>
    <w:rsid w:val="00F611C1"/>
    <w:rsid w:val="00F65A5E"/>
    <w:rsid w:val="00F67231"/>
    <w:rsid w:val="00F70AC4"/>
    <w:rsid w:val="00F72229"/>
    <w:rsid w:val="00F76D1D"/>
    <w:rsid w:val="00F770B4"/>
    <w:rsid w:val="00F7790E"/>
    <w:rsid w:val="00F91152"/>
    <w:rsid w:val="00F933ED"/>
    <w:rsid w:val="00F97622"/>
    <w:rsid w:val="00FA20F7"/>
    <w:rsid w:val="00FA3952"/>
    <w:rsid w:val="00FA3A7B"/>
    <w:rsid w:val="00FA5A5C"/>
    <w:rsid w:val="00FB2E79"/>
    <w:rsid w:val="00FB61FC"/>
    <w:rsid w:val="00FB7043"/>
    <w:rsid w:val="00FC1EE3"/>
    <w:rsid w:val="00FC25A9"/>
    <w:rsid w:val="00FC60B8"/>
    <w:rsid w:val="00FC6317"/>
    <w:rsid w:val="00FD0A30"/>
    <w:rsid w:val="00FD144E"/>
    <w:rsid w:val="00FD1AD2"/>
    <w:rsid w:val="00FD469F"/>
    <w:rsid w:val="00FD4891"/>
    <w:rsid w:val="00FD5E7E"/>
    <w:rsid w:val="00FE39E4"/>
    <w:rsid w:val="00FE66F3"/>
    <w:rsid w:val="00FF33A2"/>
    <w:rsid w:val="00FF45C2"/>
    <w:rsid w:val="00FF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8D023F"/>
  <w15:docId w15:val="{F1047FA5-3F82-421D-87AF-F0953149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DD7"/>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9"/>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9"/>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9"/>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9"/>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9"/>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9"/>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9"/>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27903"/>
    <w:pPr>
      <w:tabs>
        <w:tab w:val="center" w:pos="4535"/>
        <w:tab w:val="right" w:pos="9071"/>
      </w:tabs>
      <w:spacing w:before="0"/>
    </w:pPr>
  </w:style>
  <w:style w:type="character" w:customStyle="1" w:styleId="GlavaZnak">
    <w:name w:val="Glava Znak"/>
    <w:basedOn w:val="Privzetapisavaodstavka"/>
    <w:link w:val="Glava"/>
    <w:uiPriority w:val="99"/>
    <w:rsid w:val="00F27903"/>
    <w:rPr>
      <w:rFonts w:ascii="Times New Roman" w:hAnsi="Times New Roman" w:cs="Times New Roman"/>
      <w:sz w:val="24"/>
      <w:lang w:val="sl-SI"/>
    </w:rPr>
  </w:style>
  <w:style w:type="paragraph" w:styleId="Noga">
    <w:name w:val="footer"/>
    <w:basedOn w:val="Navaden"/>
    <w:link w:val="NogaZnak"/>
    <w:uiPriority w:val="99"/>
    <w:unhideWhenUsed/>
    <w:rsid w:val="00F27903"/>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27903"/>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27903"/>
    <w:pPr>
      <w:tabs>
        <w:tab w:val="center" w:pos="7285"/>
        <w:tab w:val="right" w:pos="14003"/>
      </w:tabs>
      <w:spacing w:before="0"/>
    </w:pPr>
  </w:style>
  <w:style w:type="paragraph" w:customStyle="1" w:styleId="FooterLandscape">
    <w:name w:val="FooterLandscape"/>
    <w:basedOn w:val="Navaden"/>
    <w:rsid w:val="00F27903"/>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279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27903"/>
    <w:pPr>
      <w:spacing w:before="0"/>
      <w:jc w:val="right"/>
    </w:pPr>
    <w:rPr>
      <w:sz w:val="28"/>
    </w:rPr>
  </w:style>
  <w:style w:type="paragraph" w:customStyle="1" w:styleId="FooterSensitivity">
    <w:name w:val="Footer Sensitivity"/>
    <w:basedOn w:val="Navaden"/>
    <w:rsid w:val="00F279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8"/>
      </w:numPr>
    </w:pPr>
  </w:style>
  <w:style w:type="paragraph" w:customStyle="1" w:styleId="NumPar2">
    <w:name w:val="NumPar 2"/>
    <w:basedOn w:val="Navaden"/>
    <w:next w:val="Text1"/>
    <w:pPr>
      <w:numPr>
        <w:ilvl w:val="1"/>
        <w:numId w:val="18"/>
      </w:numPr>
    </w:pPr>
  </w:style>
  <w:style w:type="paragraph" w:customStyle="1" w:styleId="NumPar3">
    <w:name w:val="NumPar 3"/>
    <w:basedOn w:val="Navaden"/>
    <w:next w:val="Text1"/>
    <w:pPr>
      <w:numPr>
        <w:ilvl w:val="2"/>
        <w:numId w:val="18"/>
      </w:numPr>
    </w:pPr>
  </w:style>
  <w:style w:type="paragraph" w:customStyle="1" w:styleId="NumPar4">
    <w:name w:val="NumPar 4"/>
    <w:basedOn w:val="Navaden"/>
    <w:next w:val="Text1"/>
    <w:pPr>
      <w:numPr>
        <w:ilvl w:val="3"/>
        <w:numId w:val="18"/>
      </w:numPr>
    </w:pPr>
  </w:style>
  <w:style w:type="paragraph" w:customStyle="1" w:styleId="NumPar5">
    <w:name w:val="NumPar 5"/>
    <w:basedOn w:val="Navaden"/>
    <w:next w:val="Text2"/>
    <w:pPr>
      <w:numPr>
        <w:ilvl w:val="4"/>
        <w:numId w:val="18"/>
      </w:numPr>
    </w:pPr>
  </w:style>
  <w:style w:type="paragraph" w:customStyle="1" w:styleId="NumPar6">
    <w:name w:val="NumPar 6"/>
    <w:basedOn w:val="Navaden"/>
    <w:next w:val="Text2"/>
    <w:pPr>
      <w:numPr>
        <w:ilvl w:val="5"/>
        <w:numId w:val="18"/>
      </w:numPr>
    </w:pPr>
  </w:style>
  <w:style w:type="paragraph" w:customStyle="1" w:styleId="NumPar7">
    <w:name w:val="NumPar 7"/>
    <w:basedOn w:val="Navaden"/>
    <w:next w:val="Text2"/>
    <w:pPr>
      <w:numPr>
        <w:ilvl w:val="6"/>
        <w:numId w:val="18"/>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0"/>
      </w:numPr>
    </w:pPr>
  </w:style>
  <w:style w:type="paragraph" w:customStyle="1" w:styleId="Point1number">
    <w:name w:val="Point 1 (number)"/>
    <w:basedOn w:val="Navaden"/>
    <w:pPr>
      <w:numPr>
        <w:ilvl w:val="2"/>
        <w:numId w:val="20"/>
      </w:numPr>
    </w:pPr>
  </w:style>
  <w:style w:type="paragraph" w:customStyle="1" w:styleId="Point2number">
    <w:name w:val="Point 2 (number)"/>
    <w:basedOn w:val="Navaden"/>
    <w:pPr>
      <w:numPr>
        <w:ilvl w:val="4"/>
        <w:numId w:val="20"/>
      </w:numPr>
    </w:pPr>
  </w:style>
  <w:style w:type="paragraph" w:customStyle="1" w:styleId="Point3number">
    <w:name w:val="Point 3 (number)"/>
    <w:basedOn w:val="Navaden"/>
    <w:pPr>
      <w:numPr>
        <w:ilvl w:val="6"/>
        <w:numId w:val="20"/>
      </w:numPr>
    </w:pPr>
  </w:style>
  <w:style w:type="paragraph" w:customStyle="1" w:styleId="Point0letter">
    <w:name w:val="Point 0 (letter)"/>
    <w:basedOn w:val="Navaden"/>
    <w:pPr>
      <w:numPr>
        <w:ilvl w:val="1"/>
        <w:numId w:val="20"/>
      </w:numPr>
    </w:pPr>
  </w:style>
  <w:style w:type="paragraph" w:customStyle="1" w:styleId="Point1letter">
    <w:name w:val="Point 1 (letter)"/>
    <w:basedOn w:val="Navaden"/>
    <w:pPr>
      <w:numPr>
        <w:ilvl w:val="3"/>
        <w:numId w:val="20"/>
      </w:numPr>
    </w:pPr>
  </w:style>
  <w:style w:type="paragraph" w:customStyle="1" w:styleId="Point2letter">
    <w:name w:val="Point 2 (letter)"/>
    <w:basedOn w:val="Navaden"/>
    <w:pPr>
      <w:numPr>
        <w:ilvl w:val="5"/>
        <w:numId w:val="20"/>
      </w:numPr>
    </w:pPr>
  </w:style>
  <w:style w:type="paragraph" w:customStyle="1" w:styleId="Point3letter">
    <w:name w:val="Point 3 (letter)"/>
    <w:basedOn w:val="Navaden"/>
    <w:pPr>
      <w:numPr>
        <w:ilvl w:val="7"/>
        <w:numId w:val="20"/>
      </w:numPr>
    </w:pPr>
  </w:style>
  <w:style w:type="paragraph" w:customStyle="1" w:styleId="Point4letter">
    <w:name w:val="Point 4 (letter)"/>
    <w:basedOn w:val="Navaden"/>
    <w:pPr>
      <w:numPr>
        <w:ilvl w:val="8"/>
        <w:numId w:val="20"/>
      </w:numPr>
    </w:pPr>
  </w:style>
  <w:style w:type="paragraph" w:customStyle="1" w:styleId="Bullet0">
    <w:name w:val="Bullet 0"/>
    <w:basedOn w:val="Navaden"/>
    <w:pPr>
      <w:numPr>
        <w:numId w:val="21"/>
      </w:numPr>
    </w:pPr>
  </w:style>
  <w:style w:type="paragraph" w:customStyle="1" w:styleId="Bullet1">
    <w:name w:val="Bullet 1"/>
    <w:basedOn w:val="Navaden"/>
    <w:pPr>
      <w:numPr>
        <w:numId w:val="22"/>
      </w:numPr>
    </w:pPr>
  </w:style>
  <w:style w:type="paragraph" w:customStyle="1" w:styleId="Bullet2">
    <w:name w:val="Bullet 2"/>
    <w:basedOn w:val="Navaden"/>
    <w:pPr>
      <w:numPr>
        <w:numId w:val="23"/>
      </w:numPr>
    </w:pPr>
  </w:style>
  <w:style w:type="paragraph" w:customStyle="1" w:styleId="Bullet3">
    <w:name w:val="Bullet 3"/>
    <w:basedOn w:val="Navaden"/>
    <w:pPr>
      <w:numPr>
        <w:numId w:val="24"/>
      </w:numPr>
    </w:pPr>
  </w:style>
  <w:style w:type="paragraph" w:customStyle="1" w:styleId="Bullet4">
    <w:name w:val="Bullet 4"/>
    <w:basedOn w:val="Navaden"/>
    <w:pPr>
      <w:numPr>
        <w:numId w:val="25"/>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6"/>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uiPriority w:val="99"/>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table" w:customStyle="1" w:styleId="Tabelamrea1">
    <w:name w:val="Tabela – mreža1"/>
    <w:basedOn w:val="Navadnatabela"/>
    <w:next w:val="Tabelamrea"/>
    <w:uiPriority w:val="59"/>
    <w:rsid w:val="00FD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0778B6"/>
    <w:rPr>
      <w:b/>
      <w:bCs/>
    </w:rPr>
  </w:style>
  <w:style w:type="paragraph" w:styleId="Navadensplet">
    <w:name w:val="Normal (Web)"/>
    <w:basedOn w:val="Navaden"/>
    <w:uiPriority w:val="99"/>
    <w:unhideWhenUsed/>
    <w:rsid w:val="00F12CE1"/>
    <w:pPr>
      <w:spacing w:before="100" w:beforeAutospacing="1" w:after="100" w:afterAutospacing="1"/>
      <w:jc w:val="left"/>
    </w:pPr>
    <w:rPr>
      <w:rFonts w:eastAsia="Times New Roman"/>
      <w:szCs w:val="24"/>
      <w:lang w:eastAsia="sl-SI"/>
    </w:rPr>
  </w:style>
  <w:style w:type="paragraph" w:customStyle="1" w:styleId="P68B1DB1-Navaden2">
    <w:name w:val="P68B1DB1-Navaden2"/>
    <w:basedOn w:val="Navaden"/>
    <w:rsid w:val="007A384B"/>
    <w:rPr>
      <w:sz w:val="22"/>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7292">
      <w:bodyDiv w:val="1"/>
      <w:marLeft w:val="0"/>
      <w:marRight w:val="0"/>
      <w:marTop w:val="0"/>
      <w:marBottom w:val="0"/>
      <w:divBdr>
        <w:top w:val="none" w:sz="0" w:space="0" w:color="auto"/>
        <w:left w:val="none" w:sz="0" w:space="0" w:color="auto"/>
        <w:bottom w:val="none" w:sz="0" w:space="0" w:color="auto"/>
        <w:right w:val="none" w:sz="0" w:space="0" w:color="auto"/>
      </w:divBdr>
    </w:div>
    <w:div w:id="58796269">
      <w:bodyDiv w:val="1"/>
      <w:marLeft w:val="0"/>
      <w:marRight w:val="0"/>
      <w:marTop w:val="0"/>
      <w:marBottom w:val="0"/>
      <w:divBdr>
        <w:top w:val="none" w:sz="0" w:space="0" w:color="auto"/>
        <w:left w:val="none" w:sz="0" w:space="0" w:color="auto"/>
        <w:bottom w:val="none" w:sz="0" w:space="0" w:color="auto"/>
        <w:right w:val="none" w:sz="0" w:space="0" w:color="auto"/>
      </w:divBdr>
    </w:div>
    <w:div w:id="100154864">
      <w:bodyDiv w:val="1"/>
      <w:marLeft w:val="0"/>
      <w:marRight w:val="0"/>
      <w:marTop w:val="0"/>
      <w:marBottom w:val="0"/>
      <w:divBdr>
        <w:top w:val="none" w:sz="0" w:space="0" w:color="auto"/>
        <w:left w:val="none" w:sz="0" w:space="0" w:color="auto"/>
        <w:bottom w:val="none" w:sz="0" w:space="0" w:color="auto"/>
        <w:right w:val="none" w:sz="0" w:space="0" w:color="auto"/>
      </w:divBdr>
    </w:div>
    <w:div w:id="136991528">
      <w:bodyDiv w:val="1"/>
      <w:marLeft w:val="0"/>
      <w:marRight w:val="0"/>
      <w:marTop w:val="0"/>
      <w:marBottom w:val="0"/>
      <w:divBdr>
        <w:top w:val="none" w:sz="0" w:space="0" w:color="auto"/>
        <w:left w:val="none" w:sz="0" w:space="0" w:color="auto"/>
        <w:bottom w:val="none" w:sz="0" w:space="0" w:color="auto"/>
        <w:right w:val="none" w:sz="0" w:space="0" w:color="auto"/>
      </w:divBdr>
    </w:div>
    <w:div w:id="149713032">
      <w:bodyDiv w:val="1"/>
      <w:marLeft w:val="0"/>
      <w:marRight w:val="0"/>
      <w:marTop w:val="0"/>
      <w:marBottom w:val="0"/>
      <w:divBdr>
        <w:top w:val="none" w:sz="0" w:space="0" w:color="auto"/>
        <w:left w:val="none" w:sz="0" w:space="0" w:color="auto"/>
        <w:bottom w:val="none" w:sz="0" w:space="0" w:color="auto"/>
        <w:right w:val="none" w:sz="0" w:space="0" w:color="auto"/>
      </w:divBdr>
    </w:div>
    <w:div w:id="285937013">
      <w:bodyDiv w:val="1"/>
      <w:marLeft w:val="0"/>
      <w:marRight w:val="0"/>
      <w:marTop w:val="0"/>
      <w:marBottom w:val="0"/>
      <w:divBdr>
        <w:top w:val="none" w:sz="0" w:space="0" w:color="auto"/>
        <w:left w:val="none" w:sz="0" w:space="0" w:color="auto"/>
        <w:bottom w:val="none" w:sz="0" w:space="0" w:color="auto"/>
        <w:right w:val="none" w:sz="0" w:space="0" w:color="auto"/>
      </w:divBdr>
    </w:div>
    <w:div w:id="399908495">
      <w:bodyDiv w:val="1"/>
      <w:marLeft w:val="0"/>
      <w:marRight w:val="0"/>
      <w:marTop w:val="0"/>
      <w:marBottom w:val="0"/>
      <w:divBdr>
        <w:top w:val="none" w:sz="0" w:space="0" w:color="auto"/>
        <w:left w:val="none" w:sz="0" w:space="0" w:color="auto"/>
        <w:bottom w:val="none" w:sz="0" w:space="0" w:color="auto"/>
        <w:right w:val="none" w:sz="0" w:space="0" w:color="auto"/>
      </w:divBdr>
    </w:div>
    <w:div w:id="470251773">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636565892">
      <w:bodyDiv w:val="1"/>
      <w:marLeft w:val="0"/>
      <w:marRight w:val="0"/>
      <w:marTop w:val="0"/>
      <w:marBottom w:val="0"/>
      <w:divBdr>
        <w:top w:val="none" w:sz="0" w:space="0" w:color="auto"/>
        <w:left w:val="none" w:sz="0" w:space="0" w:color="auto"/>
        <w:bottom w:val="none" w:sz="0" w:space="0" w:color="auto"/>
        <w:right w:val="none" w:sz="0" w:space="0" w:color="auto"/>
      </w:divBdr>
    </w:div>
    <w:div w:id="646319051">
      <w:bodyDiv w:val="1"/>
      <w:marLeft w:val="0"/>
      <w:marRight w:val="0"/>
      <w:marTop w:val="0"/>
      <w:marBottom w:val="0"/>
      <w:divBdr>
        <w:top w:val="none" w:sz="0" w:space="0" w:color="auto"/>
        <w:left w:val="none" w:sz="0" w:space="0" w:color="auto"/>
        <w:bottom w:val="none" w:sz="0" w:space="0" w:color="auto"/>
        <w:right w:val="none" w:sz="0" w:space="0" w:color="auto"/>
      </w:divBdr>
    </w:div>
    <w:div w:id="661271750">
      <w:bodyDiv w:val="1"/>
      <w:marLeft w:val="0"/>
      <w:marRight w:val="0"/>
      <w:marTop w:val="0"/>
      <w:marBottom w:val="0"/>
      <w:divBdr>
        <w:top w:val="none" w:sz="0" w:space="0" w:color="auto"/>
        <w:left w:val="none" w:sz="0" w:space="0" w:color="auto"/>
        <w:bottom w:val="none" w:sz="0" w:space="0" w:color="auto"/>
        <w:right w:val="none" w:sz="0" w:space="0" w:color="auto"/>
      </w:divBdr>
    </w:div>
    <w:div w:id="729158452">
      <w:bodyDiv w:val="1"/>
      <w:marLeft w:val="0"/>
      <w:marRight w:val="0"/>
      <w:marTop w:val="0"/>
      <w:marBottom w:val="0"/>
      <w:divBdr>
        <w:top w:val="none" w:sz="0" w:space="0" w:color="auto"/>
        <w:left w:val="none" w:sz="0" w:space="0" w:color="auto"/>
        <w:bottom w:val="none" w:sz="0" w:space="0" w:color="auto"/>
        <w:right w:val="none" w:sz="0" w:space="0" w:color="auto"/>
      </w:divBdr>
    </w:div>
    <w:div w:id="754281125">
      <w:bodyDiv w:val="1"/>
      <w:marLeft w:val="0"/>
      <w:marRight w:val="0"/>
      <w:marTop w:val="0"/>
      <w:marBottom w:val="0"/>
      <w:divBdr>
        <w:top w:val="none" w:sz="0" w:space="0" w:color="auto"/>
        <w:left w:val="none" w:sz="0" w:space="0" w:color="auto"/>
        <w:bottom w:val="none" w:sz="0" w:space="0" w:color="auto"/>
        <w:right w:val="none" w:sz="0" w:space="0" w:color="auto"/>
      </w:divBdr>
    </w:div>
    <w:div w:id="824903859">
      <w:bodyDiv w:val="1"/>
      <w:marLeft w:val="0"/>
      <w:marRight w:val="0"/>
      <w:marTop w:val="0"/>
      <w:marBottom w:val="0"/>
      <w:divBdr>
        <w:top w:val="none" w:sz="0" w:space="0" w:color="auto"/>
        <w:left w:val="none" w:sz="0" w:space="0" w:color="auto"/>
        <w:bottom w:val="none" w:sz="0" w:space="0" w:color="auto"/>
        <w:right w:val="none" w:sz="0" w:space="0" w:color="auto"/>
      </w:divBdr>
    </w:div>
    <w:div w:id="890461663">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943418479">
      <w:bodyDiv w:val="1"/>
      <w:marLeft w:val="0"/>
      <w:marRight w:val="0"/>
      <w:marTop w:val="0"/>
      <w:marBottom w:val="0"/>
      <w:divBdr>
        <w:top w:val="none" w:sz="0" w:space="0" w:color="auto"/>
        <w:left w:val="none" w:sz="0" w:space="0" w:color="auto"/>
        <w:bottom w:val="none" w:sz="0" w:space="0" w:color="auto"/>
        <w:right w:val="none" w:sz="0" w:space="0" w:color="auto"/>
      </w:divBdr>
    </w:div>
    <w:div w:id="989945188">
      <w:bodyDiv w:val="1"/>
      <w:marLeft w:val="0"/>
      <w:marRight w:val="0"/>
      <w:marTop w:val="0"/>
      <w:marBottom w:val="0"/>
      <w:divBdr>
        <w:top w:val="none" w:sz="0" w:space="0" w:color="auto"/>
        <w:left w:val="none" w:sz="0" w:space="0" w:color="auto"/>
        <w:bottom w:val="none" w:sz="0" w:space="0" w:color="auto"/>
        <w:right w:val="none" w:sz="0" w:space="0" w:color="auto"/>
      </w:divBdr>
    </w:div>
    <w:div w:id="1071199361">
      <w:bodyDiv w:val="1"/>
      <w:marLeft w:val="0"/>
      <w:marRight w:val="0"/>
      <w:marTop w:val="0"/>
      <w:marBottom w:val="0"/>
      <w:divBdr>
        <w:top w:val="none" w:sz="0" w:space="0" w:color="auto"/>
        <w:left w:val="none" w:sz="0" w:space="0" w:color="auto"/>
        <w:bottom w:val="none" w:sz="0" w:space="0" w:color="auto"/>
        <w:right w:val="none" w:sz="0" w:space="0" w:color="auto"/>
      </w:divBdr>
    </w:div>
    <w:div w:id="1227300469">
      <w:bodyDiv w:val="1"/>
      <w:marLeft w:val="0"/>
      <w:marRight w:val="0"/>
      <w:marTop w:val="0"/>
      <w:marBottom w:val="0"/>
      <w:divBdr>
        <w:top w:val="none" w:sz="0" w:space="0" w:color="auto"/>
        <w:left w:val="none" w:sz="0" w:space="0" w:color="auto"/>
        <w:bottom w:val="none" w:sz="0" w:space="0" w:color="auto"/>
        <w:right w:val="none" w:sz="0" w:space="0" w:color="auto"/>
      </w:divBdr>
    </w:div>
    <w:div w:id="1232349714">
      <w:bodyDiv w:val="1"/>
      <w:marLeft w:val="0"/>
      <w:marRight w:val="0"/>
      <w:marTop w:val="0"/>
      <w:marBottom w:val="0"/>
      <w:divBdr>
        <w:top w:val="none" w:sz="0" w:space="0" w:color="auto"/>
        <w:left w:val="none" w:sz="0" w:space="0" w:color="auto"/>
        <w:bottom w:val="none" w:sz="0" w:space="0" w:color="auto"/>
        <w:right w:val="none" w:sz="0" w:space="0" w:color="auto"/>
      </w:divBdr>
    </w:div>
    <w:div w:id="1256398131">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335379997">
      <w:bodyDiv w:val="1"/>
      <w:marLeft w:val="0"/>
      <w:marRight w:val="0"/>
      <w:marTop w:val="0"/>
      <w:marBottom w:val="0"/>
      <w:divBdr>
        <w:top w:val="none" w:sz="0" w:space="0" w:color="auto"/>
        <w:left w:val="none" w:sz="0" w:space="0" w:color="auto"/>
        <w:bottom w:val="none" w:sz="0" w:space="0" w:color="auto"/>
        <w:right w:val="none" w:sz="0" w:space="0" w:color="auto"/>
      </w:divBdr>
    </w:div>
    <w:div w:id="1355962231">
      <w:bodyDiv w:val="1"/>
      <w:marLeft w:val="0"/>
      <w:marRight w:val="0"/>
      <w:marTop w:val="0"/>
      <w:marBottom w:val="0"/>
      <w:divBdr>
        <w:top w:val="none" w:sz="0" w:space="0" w:color="auto"/>
        <w:left w:val="none" w:sz="0" w:space="0" w:color="auto"/>
        <w:bottom w:val="none" w:sz="0" w:space="0" w:color="auto"/>
        <w:right w:val="none" w:sz="0" w:space="0" w:color="auto"/>
      </w:divBdr>
    </w:div>
    <w:div w:id="1444155022">
      <w:bodyDiv w:val="1"/>
      <w:marLeft w:val="0"/>
      <w:marRight w:val="0"/>
      <w:marTop w:val="0"/>
      <w:marBottom w:val="0"/>
      <w:divBdr>
        <w:top w:val="none" w:sz="0" w:space="0" w:color="auto"/>
        <w:left w:val="none" w:sz="0" w:space="0" w:color="auto"/>
        <w:bottom w:val="none" w:sz="0" w:space="0" w:color="auto"/>
        <w:right w:val="none" w:sz="0" w:space="0" w:color="auto"/>
      </w:divBdr>
    </w:div>
    <w:div w:id="1455565415">
      <w:bodyDiv w:val="1"/>
      <w:marLeft w:val="0"/>
      <w:marRight w:val="0"/>
      <w:marTop w:val="0"/>
      <w:marBottom w:val="0"/>
      <w:divBdr>
        <w:top w:val="none" w:sz="0" w:space="0" w:color="auto"/>
        <w:left w:val="none" w:sz="0" w:space="0" w:color="auto"/>
        <w:bottom w:val="none" w:sz="0" w:space="0" w:color="auto"/>
        <w:right w:val="none" w:sz="0" w:space="0" w:color="auto"/>
      </w:divBdr>
    </w:div>
    <w:div w:id="1526940882">
      <w:bodyDiv w:val="1"/>
      <w:marLeft w:val="0"/>
      <w:marRight w:val="0"/>
      <w:marTop w:val="0"/>
      <w:marBottom w:val="0"/>
      <w:divBdr>
        <w:top w:val="none" w:sz="0" w:space="0" w:color="auto"/>
        <w:left w:val="none" w:sz="0" w:space="0" w:color="auto"/>
        <w:bottom w:val="none" w:sz="0" w:space="0" w:color="auto"/>
        <w:right w:val="none" w:sz="0" w:space="0" w:color="auto"/>
      </w:divBdr>
    </w:div>
    <w:div w:id="1558974568">
      <w:bodyDiv w:val="1"/>
      <w:marLeft w:val="0"/>
      <w:marRight w:val="0"/>
      <w:marTop w:val="0"/>
      <w:marBottom w:val="0"/>
      <w:divBdr>
        <w:top w:val="none" w:sz="0" w:space="0" w:color="auto"/>
        <w:left w:val="none" w:sz="0" w:space="0" w:color="auto"/>
        <w:bottom w:val="none" w:sz="0" w:space="0" w:color="auto"/>
        <w:right w:val="none" w:sz="0" w:space="0" w:color="auto"/>
      </w:divBdr>
    </w:div>
    <w:div w:id="1633050829">
      <w:bodyDiv w:val="1"/>
      <w:marLeft w:val="0"/>
      <w:marRight w:val="0"/>
      <w:marTop w:val="0"/>
      <w:marBottom w:val="0"/>
      <w:divBdr>
        <w:top w:val="none" w:sz="0" w:space="0" w:color="auto"/>
        <w:left w:val="none" w:sz="0" w:space="0" w:color="auto"/>
        <w:bottom w:val="none" w:sz="0" w:space="0" w:color="auto"/>
        <w:right w:val="none" w:sz="0" w:space="0" w:color="auto"/>
      </w:divBdr>
    </w:div>
    <w:div w:id="1780294061">
      <w:bodyDiv w:val="1"/>
      <w:marLeft w:val="0"/>
      <w:marRight w:val="0"/>
      <w:marTop w:val="0"/>
      <w:marBottom w:val="0"/>
      <w:divBdr>
        <w:top w:val="none" w:sz="0" w:space="0" w:color="auto"/>
        <w:left w:val="none" w:sz="0" w:space="0" w:color="auto"/>
        <w:bottom w:val="none" w:sz="0" w:space="0" w:color="auto"/>
        <w:right w:val="none" w:sz="0" w:space="0" w:color="auto"/>
      </w:divBdr>
    </w:div>
    <w:div w:id="1784109225">
      <w:bodyDiv w:val="1"/>
      <w:marLeft w:val="0"/>
      <w:marRight w:val="0"/>
      <w:marTop w:val="0"/>
      <w:marBottom w:val="0"/>
      <w:divBdr>
        <w:top w:val="none" w:sz="0" w:space="0" w:color="auto"/>
        <w:left w:val="none" w:sz="0" w:space="0" w:color="auto"/>
        <w:bottom w:val="none" w:sz="0" w:space="0" w:color="auto"/>
        <w:right w:val="none" w:sz="0" w:space="0" w:color="auto"/>
      </w:divBdr>
    </w:div>
    <w:div w:id="1813206914">
      <w:bodyDiv w:val="1"/>
      <w:marLeft w:val="0"/>
      <w:marRight w:val="0"/>
      <w:marTop w:val="0"/>
      <w:marBottom w:val="0"/>
      <w:divBdr>
        <w:top w:val="none" w:sz="0" w:space="0" w:color="auto"/>
        <w:left w:val="none" w:sz="0" w:space="0" w:color="auto"/>
        <w:bottom w:val="none" w:sz="0" w:space="0" w:color="auto"/>
        <w:right w:val="none" w:sz="0" w:space="0" w:color="auto"/>
      </w:divBdr>
    </w:div>
    <w:div w:id="1821195106">
      <w:bodyDiv w:val="1"/>
      <w:marLeft w:val="0"/>
      <w:marRight w:val="0"/>
      <w:marTop w:val="0"/>
      <w:marBottom w:val="0"/>
      <w:divBdr>
        <w:top w:val="none" w:sz="0" w:space="0" w:color="auto"/>
        <w:left w:val="none" w:sz="0" w:space="0" w:color="auto"/>
        <w:bottom w:val="none" w:sz="0" w:space="0" w:color="auto"/>
        <w:right w:val="none" w:sz="0" w:space="0" w:color="auto"/>
      </w:divBdr>
    </w:div>
    <w:div w:id="1827475169">
      <w:bodyDiv w:val="1"/>
      <w:marLeft w:val="0"/>
      <w:marRight w:val="0"/>
      <w:marTop w:val="0"/>
      <w:marBottom w:val="0"/>
      <w:divBdr>
        <w:top w:val="none" w:sz="0" w:space="0" w:color="auto"/>
        <w:left w:val="none" w:sz="0" w:space="0" w:color="auto"/>
        <w:bottom w:val="none" w:sz="0" w:space="0" w:color="auto"/>
        <w:right w:val="none" w:sz="0" w:space="0" w:color="auto"/>
      </w:divBdr>
    </w:div>
    <w:div w:id="2095742634">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04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ropskasredstva.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6D46-FC06-4E2C-B7DB-6E99CB910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3CD57-CD58-4958-B50E-1550973E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4.xml><?xml version="1.0" encoding="utf-8"?>
<ds:datastoreItem xmlns:ds="http://schemas.openxmlformats.org/officeDocument/2006/customXml" ds:itemID="{8C25F6D3-EF5A-4B04-BEF9-F9B9D315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4</TotalTime>
  <Pages>18</Pages>
  <Words>8442</Words>
  <Characters>48125</Characters>
  <Application>Microsoft Office Word</Application>
  <DocSecurity>0</DocSecurity>
  <Lines>401</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Mirjam Senčar </cp:lastModifiedBy>
  <cp:revision>3</cp:revision>
  <cp:lastPrinted>2022-09-22T13:13:00Z</cp:lastPrinted>
  <dcterms:created xsi:type="dcterms:W3CDTF">2026-04-10T07:17:00Z</dcterms:created>
  <dcterms:modified xsi:type="dcterms:W3CDTF">2026-04-10T08:37:00Z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