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6.4.0 -->
  <w:body>
    <w:p w:rsidR="00A77B3E">
      <w:pPr>
        <w:jc w:val="left"/>
      </w:pPr>
    </w:p>
    <w:p w:rsidR="00A77B3E">
      <w:pPr>
        <w:jc w:val="center"/>
        <w:rPr>
          <w:rFonts w:ascii="Times New Roman" w:eastAsia="Times New Roman" w:hAnsi="Times New Roman" w:cs="Times New Roman"/>
          <w:vanish w:val="0"/>
          <w:color w:val="000000"/>
          <w:sz w:val="32"/>
        </w:rPr>
      </w:pPr>
      <w:r>
        <w:rPr>
          <w:rFonts w:ascii="Times New Roman" w:eastAsia="Times New Roman" w:hAnsi="Times New Roman" w:cs="Times New Roman"/>
          <w:vanish w:val="0"/>
          <w:color w:val="000000"/>
          <w:sz w:val="32"/>
        </w:rPr>
        <w:t>Program SFC2021 za AMIF, SNV in IUMV</w:t>
      </w:r>
    </w:p>
    <w:p w:rsidR="00A77B3E">
      <w:pPr>
        <w:jc w:val="center"/>
        <w:rPr>
          <w:rFonts w:ascii="Times New Roman" w:eastAsia="Times New Roman" w:hAnsi="Times New Roman" w:cs="Times New Roman"/>
          <w:vanish w:val="0"/>
          <w:color w:val="000000"/>
          <w:sz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225"/>
        <w:gridCol w:w="5225"/>
      </w:tblGrid>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Številka CCI</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2021SI65AMPR001</w:t>
            </w: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Naslov v angleščini</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Programme Slovenia - AMIF</w:t>
            </w: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Naslov v nacionalnem jeziku (nacionalnih jezikih)</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SL - Program Slovenija - AMIF</w:t>
            </w: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Različica</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5.0</w:t>
            </w: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Prvo leto</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2021</w:t>
            </w: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Zadnje leto</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2027</w:t>
            </w: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Upravičen od</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1. jan. 2021</w:t>
            </w: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Upravičen do</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31. dec. 2029</w:t>
            </w: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Številka sklepa Komisije</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Datum sklepa Komisije</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Številka sklepa države članice o spremembi</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Datum začetka veljavnosti sklepa države članice o spremembi</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Nebistvena prerazporeditev (člen 24(5) uredbe o skupnih določbah)</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Ne</w:t>
            </w: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Redakcijsko-tehnični popravki (člen 24(6) uredbe o skupnih določbah)</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Ne</w:t>
            </w: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Tematski instrument (člen 11 uredbe o AMIF, člen 8 uredbe o IUMV, člen 8 uredbe o SNV)</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Da</w:t>
            </w:r>
          </w:p>
        </w:tc>
      </w:tr>
      <w:tr>
        <w:tblPrEx>
          <w:tblW w:w="5000" w:type="pct"/>
        </w:tblPrEx>
        <w:trPr>
          <w:trHeight w:val="240"/>
        </w:trPr>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Odobril odbor za spremljanje</w:t>
            </w:r>
          </w:p>
        </w:tc>
        <w:tc>
          <w:tcPr>
            <w:tcW w:w="1667" w:type="pct"/>
            <w:tcMar>
              <w:left w:w="100" w:type="dxa"/>
              <w:right w:w="100" w:type="dxa"/>
            </w:tcMar>
            <w:vAlign w:val="top"/>
          </w:tcPr>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Ne</w:t>
            </w:r>
          </w:p>
        </w:tc>
      </w:tr>
    </w:tbl>
    <w:p w:rsidR="00A77B3E">
      <w:pPr>
        <w:jc w:val="center"/>
        <w:rPr>
          <w:rFonts w:ascii="Times New Roman" w:eastAsia="Times New Roman" w:hAnsi="Times New Roman" w:cs="Times New Roman"/>
          <w:b/>
          <w:vanish w:val="0"/>
          <w:color w:val="000000"/>
          <w:sz w:val="24"/>
        </w:rPr>
      </w:pPr>
      <w:r>
        <w:rPr>
          <w:rFonts w:ascii="Times New Roman" w:eastAsia="Times New Roman" w:hAnsi="Times New Roman" w:cs="Times New Roman"/>
          <w:b w:val="0"/>
          <w:vanish w:val="0"/>
          <w:color w:val="000000"/>
          <w:sz w:val="24"/>
        </w:rPr>
        <w:br w:type="page"/>
      </w:r>
      <w:r>
        <w:rPr>
          <w:rFonts w:ascii="Times New Roman" w:eastAsia="Times New Roman" w:hAnsi="Times New Roman" w:cs="Times New Roman"/>
          <w:b/>
          <w:vanish w:val="0"/>
          <w:color w:val="000000"/>
          <w:sz w:val="24"/>
        </w:rPr>
        <w:t>Kazalo</w:t>
      </w:r>
    </w:p>
    <w:p w:rsidR="00A77B3E">
      <w:pPr>
        <w:jc w:val="center"/>
        <w:rPr>
          <w:rFonts w:ascii="Times New Roman" w:eastAsia="Times New Roman" w:hAnsi="Times New Roman" w:cs="Times New Roman"/>
          <w:b w:val="0"/>
          <w:vanish w:val="0"/>
          <w:color w:val="000000"/>
          <w:sz w:val="24"/>
        </w:rPr>
      </w:pPr>
    </w:p>
    <w:p>
      <w:pPr>
        <w:pStyle w:val="TOC1"/>
        <w:tabs>
          <w:tab w:val="right" w:leader="dot" w:pos="10240"/>
        </w:tabs>
        <w:rPr>
          <w:rFonts w:ascii="Calibri" w:hAnsi="Calibri"/>
          <w:noProof/>
          <w:sz w:val="22"/>
        </w:rPr>
      </w:pPr>
      <w:r w:rsidR="00A77B3E">
        <w:rPr>
          <w:rFonts w:ascii="Times New Roman" w:eastAsia="Times New Roman" w:hAnsi="Times New Roman" w:cs="Times New Roman"/>
          <w:b w:val="0"/>
          <w:vanish w:val="0"/>
          <w:color w:val="000000"/>
          <w:sz w:val="24"/>
        </w:rPr>
        <w:fldChar w:fldCharType="begin"/>
      </w:r>
      <w:r w:rsidR="00A77B3E">
        <w:rPr>
          <w:rFonts w:ascii="Times New Roman" w:eastAsia="Times New Roman" w:hAnsi="Times New Roman" w:cs="Times New Roman"/>
          <w:b w:val="0"/>
          <w:vanish w:val="0"/>
          <w:color w:val="000000"/>
          <w:sz w:val="24"/>
        </w:rPr>
        <w:instrText>TOC \o "1-9" \z \u \h</w:instrText>
      </w:r>
      <w:r w:rsidR="00A77B3E">
        <w:rPr>
          <w:rFonts w:ascii="Times New Roman" w:eastAsia="Times New Roman" w:hAnsi="Times New Roman" w:cs="Times New Roman"/>
          <w:b w:val="0"/>
          <w:vanish w:val="0"/>
          <w:color w:val="000000"/>
          <w:sz w:val="24"/>
        </w:rPr>
        <w:fldChar w:fldCharType="separate"/>
      </w:r>
      <w:hyperlink w:anchor="_Toc256000063" w:history="1">
        <w:r w:rsidR="00A77B3E">
          <w:rPr>
            <w:rStyle w:val="Hyperlink"/>
            <w:rFonts w:ascii="Times New Roman" w:hAnsi="Times New Roman" w:cs="Times New Roman"/>
          </w:rPr>
          <w:t>1. Strategija programa: glavni izzivi in odzivi politik</w:t>
        </w:r>
        <w:r>
          <w:tab/>
        </w:r>
        <w:r>
          <w:fldChar w:fldCharType="begin"/>
        </w:r>
        <w:r>
          <w:instrText xml:space="preserve"> PAGEREF _Toc256000063 \h </w:instrText>
        </w:r>
        <w:r>
          <w:fldChar w:fldCharType="separate"/>
        </w:r>
        <w:r>
          <w:t>4</w:t>
        </w:r>
        <w:r>
          <w:fldChar w:fldCharType="end"/>
        </w:r>
      </w:hyperlink>
    </w:p>
    <w:p>
      <w:pPr>
        <w:pStyle w:val="TOC1"/>
        <w:tabs>
          <w:tab w:val="right" w:leader="dot" w:pos="10240"/>
        </w:tabs>
        <w:rPr>
          <w:rFonts w:ascii="Calibri" w:hAnsi="Calibri"/>
          <w:noProof/>
          <w:sz w:val="22"/>
        </w:rPr>
      </w:pPr>
      <w:hyperlink w:anchor="_Toc256000064" w:history="1">
        <w:r w:rsidR="00A77B3E">
          <w:rPr>
            <w:rStyle w:val="Hyperlink"/>
            <w:rFonts w:ascii="Times New Roman" w:hAnsi="Times New Roman" w:cs="Times New Roman"/>
          </w:rPr>
          <w:t>2. Specifični cilji in tehnična pomoč</w:t>
        </w:r>
        <w:r>
          <w:tab/>
        </w:r>
        <w:r>
          <w:fldChar w:fldCharType="begin"/>
        </w:r>
        <w:r>
          <w:instrText xml:space="preserve"> PAGEREF _Toc256000064 \h </w:instrText>
        </w:r>
        <w:r>
          <w:fldChar w:fldCharType="separate"/>
        </w:r>
        <w:r>
          <w:t>11</w:t>
        </w:r>
        <w:r>
          <w:fldChar w:fldCharType="end"/>
        </w:r>
      </w:hyperlink>
    </w:p>
    <w:p>
      <w:pPr>
        <w:pStyle w:val="TOC2"/>
        <w:tabs>
          <w:tab w:val="right" w:leader="dot" w:pos="10240"/>
        </w:tabs>
        <w:rPr>
          <w:rFonts w:ascii="Calibri" w:hAnsi="Calibri"/>
          <w:noProof/>
          <w:sz w:val="22"/>
        </w:rPr>
      </w:pPr>
      <w:hyperlink w:anchor="_Toc256000065" w:history="1">
        <w:r w:rsidR="00A77B3E">
          <w:rPr>
            <w:rStyle w:val="Hyperlink"/>
            <w:rFonts w:ascii="TimesNewRoman" w:eastAsia="TimesNewRoman" w:hAnsi="TimesNewRoman" w:cs="TimesNewRoman"/>
          </w:rPr>
          <w:t>2.1. Specifični cilj: 1. Skupni evropski azilni sistem</w:t>
        </w:r>
        <w:r>
          <w:tab/>
        </w:r>
        <w:r>
          <w:fldChar w:fldCharType="begin"/>
        </w:r>
        <w:r>
          <w:instrText xml:space="preserve"> PAGEREF _Toc256000065 \h </w:instrText>
        </w:r>
        <w:r>
          <w:fldChar w:fldCharType="separate"/>
        </w:r>
        <w:r>
          <w:t>13</w:t>
        </w:r>
        <w:r>
          <w:fldChar w:fldCharType="end"/>
        </w:r>
      </w:hyperlink>
    </w:p>
    <w:p>
      <w:pPr>
        <w:pStyle w:val="TOC3"/>
        <w:tabs>
          <w:tab w:val="right" w:leader="dot" w:pos="10240"/>
        </w:tabs>
        <w:rPr>
          <w:rFonts w:ascii="Calibri" w:hAnsi="Calibri"/>
          <w:noProof/>
          <w:sz w:val="22"/>
        </w:rPr>
      </w:pPr>
      <w:hyperlink w:anchor="_Toc256000066" w:history="1">
        <w:r w:rsidR="00A77B3E">
          <w:rPr>
            <w:rStyle w:val="Hyperlink"/>
            <w:rFonts w:ascii="TimesNewRoman" w:eastAsia="TimesNewRoman" w:hAnsi="TimesNewRoman" w:cs="TimesNewRoman"/>
          </w:rPr>
          <w:t>2.1.1. Opis specifičnega cilja</w:t>
        </w:r>
        <w:r>
          <w:tab/>
        </w:r>
        <w:r>
          <w:fldChar w:fldCharType="begin"/>
        </w:r>
        <w:r>
          <w:instrText xml:space="preserve"> PAGEREF _Toc256000066 \h </w:instrText>
        </w:r>
        <w:r>
          <w:fldChar w:fldCharType="separate"/>
        </w:r>
        <w:r>
          <w:t>13</w:t>
        </w:r>
        <w:r>
          <w:fldChar w:fldCharType="end"/>
        </w:r>
      </w:hyperlink>
    </w:p>
    <w:p>
      <w:pPr>
        <w:pStyle w:val="TOC3"/>
        <w:tabs>
          <w:tab w:val="right" w:leader="dot" w:pos="10240"/>
        </w:tabs>
        <w:rPr>
          <w:rFonts w:ascii="Calibri" w:hAnsi="Calibri"/>
          <w:noProof/>
          <w:sz w:val="22"/>
        </w:rPr>
      </w:pPr>
      <w:hyperlink w:anchor="_Toc256000067" w:history="1">
        <w:r w:rsidR="00A77B3E">
          <w:rPr>
            <w:rStyle w:val="Hyperlink"/>
            <w:rFonts w:ascii="Times New Roman" w:hAnsi="Times New Roman" w:cs="Times New Roman"/>
          </w:rPr>
          <w:t>2.1.2. Kazalniki</w:t>
        </w:r>
        <w:r>
          <w:tab/>
        </w:r>
        <w:r>
          <w:fldChar w:fldCharType="begin"/>
        </w:r>
        <w:r>
          <w:instrText xml:space="preserve"> PAGEREF _Toc256000067 \h </w:instrText>
        </w:r>
        <w:r>
          <w:fldChar w:fldCharType="separate"/>
        </w:r>
        <w:r>
          <w:t>19</w:t>
        </w:r>
        <w:r>
          <w:fldChar w:fldCharType="end"/>
        </w:r>
      </w:hyperlink>
    </w:p>
    <w:p>
      <w:pPr>
        <w:pStyle w:val="TOC4"/>
        <w:tabs>
          <w:tab w:val="right" w:leader="dot" w:pos="10240"/>
        </w:tabs>
        <w:rPr>
          <w:rFonts w:ascii="Calibri" w:hAnsi="Calibri"/>
          <w:noProof/>
          <w:sz w:val="22"/>
        </w:rPr>
      </w:pPr>
      <w:hyperlink w:anchor="_Toc256000068" w:history="1">
        <w:r w:rsidR="00A77B3E">
          <w:rPr>
            <w:rStyle w:val="Hyperlink"/>
          </w:rPr>
          <w:t>Tabela 1: Kazalniki učinka</w:t>
        </w:r>
        <w:r>
          <w:tab/>
        </w:r>
        <w:r>
          <w:fldChar w:fldCharType="begin"/>
        </w:r>
        <w:r>
          <w:instrText xml:space="preserve"> PAGEREF _Toc256000068 \h </w:instrText>
        </w:r>
        <w:r>
          <w:fldChar w:fldCharType="separate"/>
        </w:r>
        <w:r>
          <w:t>19</w:t>
        </w:r>
        <w:r>
          <w:fldChar w:fldCharType="end"/>
        </w:r>
      </w:hyperlink>
    </w:p>
    <w:p>
      <w:pPr>
        <w:pStyle w:val="TOC4"/>
        <w:tabs>
          <w:tab w:val="right" w:leader="dot" w:pos="10240"/>
        </w:tabs>
        <w:rPr>
          <w:rFonts w:ascii="Calibri" w:hAnsi="Calibri"/>
          <w:noProof/>
          <w:sz w:val="22"/>
        </w:rPr>
      </w:pPr>
      <w:hyperlink w:anchor="_Toc256000069" w:history="1">
        <w:r w:rsidR="00A77B3E">
          <w:rPr>
            <w:rStyle w:val="Hyperlink"/>
          </w:rPr>
          <w:t>Tabela 2: Kazalniki rezultatov</w:t>
        </w:r>
        <w:r>
          <w:tab/>
        </w:r>
        <w:r>
          <w:fldChar w:fldCharType="begin"/>
        </w:r>
        <w:r>
          <w:instrText xml:space="preserve"> PAGEREF _Toc256000069 \h </w:instrText>
        </w:r>
        <w:r>
          <w:fldChar w:fldCharType="separate"/>
        </w:r>
        <w:r>
          <w:t>20</w:t>
        </w:r>
        <w:r>
          <w:fldChar w:fldCharType="end"/>
        </w:r>
      </w:hyperlink>
    </w:p>
    <w:p>
      <w:pPr>
        <w:pStyle w:val="TOC3"/>
        <w:tabs>
          <w:tab w:val="right" w:leader="dot" w:pos="10240"/>
        </w:tabs>
        <w:rPr>
          <w:rFonts w:ascii="Calibri" w:hAnsi="Calibri"/>
          <w:noProof/>
          <w:sz w:val="22"/>
        </w:rPr>
      </w:pPr>
      <w:hyperlink w:anchor="_Toc256000070" w:history="1">
        <w:r w:rsidR="00A77B3E">
          <w:rPr>
            <w:rStyle w:val="Hyperlink"/>
            <w:rFonts w:ascii="Times New Roman" w:hAnsi="Times New Roman" w:cs="Times New Roman"/>
          </w:rPr>
          <w:t>2.1.3. Okvirna razčlenitev programskih sredstev (EU) po vrsti ukrepa</w:t>
        </w:r>
        <w:r>
          <w:tab/>
        </w:r>
        <w:r>
          <w:fldChar w:fldCharType="begin"/>
        </w:r>
        <w:r>
          <w:instrText xml:space="preserve"> PAGEREF _Toc256000070 \h </w:instrText>
        </w:r>
        <w:r>
          <w:fldChar w:fldCharType="separate"/>
        </w:r>
        <w:r>
          <w:t>21</w:t>
        </w:r>
        <w:r>
          <w:fldChar w:fldCharType="end"/>
        </w:r>
      </w:hyperlink>
    </w:p>
    <w:p>
      <w:pPr>
        <w:pStyle w:val="TOC4"/>
        <w:tabs>
          <w:tab w:val="right" w:leader="dot" w:pos="10240"/>
        </w:tabs>
        <w:rPr>
          <w:rFonts w:ascii="Calibri" w:hAnsi="Calibri"/>
          <w:noProof/>
          <w:sz w:val="22"/>
        </w:rPr>
      </w:pPr>
      <w:hyperlink w:anchor="_Toc256000071" w:history="1">
        <w:r w:rsidR="00A77B3E">
          <w:rPr>
            <w:rStyle w:val="Hyperlink"/>
          </w:rPr>
          <w:t>Tabela 3: Okvirna razčlenitev</w:t>
        </w:r>
        <w:r>
          <w:tab/>
        </w:r>
        <w:r>
          <w:fldChar w:fldCharType="begin"/>
        </w:r>
        <w:r>
          <w:instrText xml:space="preserve"> PAGEREF _Toc256000071 \h </w:instrText>
        </w:r>
        <w:r>
          <w:fldChar w:fldCharType="separate"/>
        </w:r>
        <w:r>
          <w:t>21</w:t>
        </w:r>
        <w:r>
          <w:fldChar w:fldCharType="end"/>
        </w:r>
      </w:hyperlink>
    </w:p>
    <w:p>
      <w:pPr>
        <w:pStyle w:val="TOC2"/>
        <w:tabs>
          <w:tab w:val="right" w:leader="dot" w:pos="10240"/>
        </w:tabs>
        <w:rPr>
          <w:rFonts w:ascii="Calibri" w:hAnsi="Calibri"/>
          <w:noProof/>
          <w:sz w:val="22"/>
        </w:rPr>
      </w:pPr>
      <w:hyperlink w:anchor="_Toc256000072" w:history="1">
        <w:r w:rsidR="00A77B3E">
          <w:rPr>
            <w:rStyle w:val="Hyperlink"/>
            <w:rFonts w:ascii="TimesNewRoman" w:eastAsia="TimesNewRoman" w:hAnsi="TimesNewRoman" w:cs="TimesNewRoman"/>
          </w:rPr>
          <w:t>2.1. Specifični cilj: 2. Zakonite migracije in vključevanje</w:t>
        </w:r>
        <w:r>
          <w:tab/>
        </w:r>
        <w:r>
          <w:fldChar w:fldCharType="begin"/>
        </w:r>
        <w:r>
          <w:instrText xml:space="preserve"> PAGEREF _Toc256000072 \h </w:instrText>
        </w:r>
        <w:r>
          <w:fldChar w:fldCharType="separate"/>
        </w:r>
        <w:r>
          <w:t>22</w:t>
        </w:r>
        <w:r>
          <w:fldChar w:fldCharType="end"/>
        </w:r>
      </w:hyperlink>
    </w:p>
    <w:p>
      <w:pPr>
        <w:pStyle w:val="TOC3"/>
        <w:tabs>
          <w:tab w:val="right" w:leader="dot" w:pos="10240"/>
        </w:tabs>
        <w:rPr>
          <w:rFonts w:ascii="Calibri" w:hAnsi="Calibri"/>
          <w:noProof/>
          <w:sz w:val="22"/>
        </w:rPr>
      </w:pPr>
      <w:hyperlink w:anchor="_Toc256000073" w:history="1">
        <w:r w:rsidR="00A77B3E">
          <w:rPr>
            <w:rStyle w:val="Hyperlink"/>
            <w:rFonts w:ascii="TimesNewRoman" w:eastAsia="TimesNewRoman" w:hAnsi="TimesNewRoman" w:cs="TimesNewRoman"/>
          </w:rPr>
          <w:t>2.1.1. Opis specifičnega cilja</w:t>
        </w:r>
        <w:r>
          <w:tab/>
        </w:r>
        <w:r>
          <w:fldChar w:fldCharType="begin"/>
        </w:r>
        <w:r>
          <w:instrText xml:space="preserve"> PAGEREF _Toc256000073 \h </w:instrText>
        </w:r>
        <w:r>
          <w:fldChar w:fldCharType="separate"/>
        </w:r>
        <w:r>
          <w:t>22</w:t>
        </w:r>
        <w:r>
          <w:fldChar w:fldCharType="end"/>
        </w:r>
      </w:hyperlink>
    </w:p>
    <w:p>
      <w:pPr>
        <w:pStyle w:val="TOC3"/>
        <w:tabs>
          <w:tab w:val="right" w:leader="dot" w:pos="10240"/>
        </w:tabs>
        <w:rPr>
          <w:rFonts w:ascii="Calibri" w:hAnsi="Calibri"/>
          <w:noProof/>
          <w:sz w:val="22"/>
        </w:rPr>
      </w:pPr>
      <w:hyperlink w:anchor="_Toc256000074" w:history="1">
        <w:r w:rsidR="00A77B3E">
          <w:rPr>
            <w:rStyle w:val="Hyperlink"/>
            <w:rFonts w:ascii="Times New Roman" w:hAnsi="Times New Roman" w:cs="Times New Roman"/>
          </w:rPr>
          <w:t>2.1.2. Kazalniki</w:t>
        </w:r>
        <w:r>
          <w:tab/>
        </w:r>
        <w:r>
          <w:fldChar w:fldCharType="begin"/>
        </w:r>
        <w:r>
          <w:instrText xml:space="preserve"> PAGEREF _Toc256000074 \h </w:instrText>
        </w:r>
        <w:r>
          <w:fldChar w:fldCharType="separate"/>
        </w:r>
        <w:r>
          <w:t>27</w:t>
        </w:r>
        <w:r>
          <w:fldChar w:fldCharType="end"/>
        </w:r>
      </w:hyperlink>
    </w:p>
    <w:p>
      <w:pPr>
        <w:pStyle w:val="TOC4"/>
        <w:tabs>
          <w:tab w:val="right" w:leader="dot" w:pos="10240"/>
        </w:tabs>
        <w:rPr>
          <w:rFonts w:ascii="Calibri" w:hAnsi="Calibri"/>
          <w:noProof/>
          <w:sz w:val="22"/>
        </w:rPr>
      </w:pPr>
      <w:hyperlink w:anchor="_Toc256000075" w:history="1">
        <w:r w:rsidR="00A77B3E">
          <w:rPr>
            <w:rStyle w:val="Hyperlink"/>
          </w:rPr>
          <w:t>Tabela 1: Kazalniki učinka</w:t>
        </w:r>
        <w:r>
          <w:tab/>
        </w:r>
        <w:r>
          <w:fldChar w:fldCharType="begin"/>
        </w:r>
        <w:r>
          <w:instrText xml:space="preserve"> PAGEREF _Toc256000075 \h </w:instrText>
        </w:r>
        <w:r>
          <w:fldChar w:fldCharType="separate"/>
        </w:r>
        <w:r>
          <w:t>27</w:t>
        </w:r>
        <w:r>
          <w:fldChar w:fldCharType="end"/>
        </w:r>
      </w:hyperlink>
    </w:p>
    <w:p>
      <w:pPr>
        <w:pStyle w:val="TOC4"/>
        <w:tabs>
          <w:tab w:val="right" w:leader="dot" w:pos="10240"/>
        </w:tabs>
        <w:rPr>
          <w:rFonts w:ascii="Calibri" w:hAnsi="Calibri"/>
          <w:noProof/>
          <w:sz w:val="22"/>
        </w:rPr>
      </w:pPr>
      <w:hyperlink w:anchor="_Toc256000076" w:history="1">
        <w:r w:rsidR="00A77B3E">
          <w:rPr>
            <w:rStyle w:val="Hyperlink"/>
          </w:rPr>
          <w:t>Tabela 2: Kazalniki rezultatov</w:t>
        </w:r>
        <w:r>
          <w:tab/>
        </w:r>
        <w:r>
          <w:fldChar w:fldCharType="begin"/>
        </w:r>
        <w:r>
          <w:instrText xml:space="preserve"> PAGEREF _Toc256000076 \h </w:instrText>
        </w:r>
        <w:r>
          <w:fldChar w:fldCharType="separate"/>
        </w:r>
        <w:r>
          <w:t>28</w:t>
        </w:r>
        <w:r>
          <w:fldChar w:fldCharType="end"/>
        </w:r>
      </w:hyperlink>
    </w:p>
    <w:p>
      <w:pPr>
        <w:pStyle w:val="TOC3"/>
        <w:tabs>
          <w:tab w:val="right" w:leader="dot" w:pos="10240"/>
        </w:tabs>
        <w:rPr>
          <w:rFonts w:ascii="Calibri" w:hAnsi="Calibri"/>
          <w:noProof/>
          <w:sz w:val="22"/>
        </w:rPr>
      </w:pPr>
      <w:hyperlink w:anchor="_Toc256000077" w:history="1">
        <w:r w:rsidR="00A77B3E">
          <w:rPr>
            <w:rStyle w:val="Hyperlink"/>
            <w:rFonts w:ascii="Times New Roman" w:hAnsi="Times New Roman" w:cs="Times New Roman"/>
          </w:rPr>
          <w:t>2.1.3. Okvirna razčlenitev programskih sredstev (EU) po vrsti ukrepa</w:t>
        </w:r>
        <w:r>
          <w:tab/>
        </w:r>
        <w:r>
          <w:fldChar w:fldCharType="begin"/>
        </w:r>
        <w:r>
          <w:instrText xml:space="preserve"> PAGEREF _Toc256000077 \h </w:instrText>
        </w:r>
        <w:r>
          <w:fldChar w:fldCharType="separate"/>
        </w:r>
        <w:r>
          <w:t>29</w:t>
        </w:r>
        <w:r>
          <w:fldChar w:fldCharType="end"/>
        </w:r>
      </w:hyperlink>
    </w:p>
    <w:p>
      <w:pPr>
        <w:pStyle w:val="TOC4"/>
        <w:tabs>
          <w:tab w:val="right" w:leader="dot" w:pos="10240"/>
        </w:tabs>
        <w:rPr>
          <w:rFonts w:ascii="Calibri" w:hAnsi="Calibri"/>
          <w:noProof/>
          <w:sz w:val="22"/>
        </w:rPr>
      </w:pPr>
      <w:hyperlink w:anchor="_Toc256000078" w:history="1">
        <w:r w:rsidR="00A77B3E">
          <w:rPr>
            <w:rStyle w:val="Hyperlink"/>
          </w:rPr>
          <w:t>Tabela 3: Okvirna razčlenitev</w:t>
        </w:r>
        <w:r>
          <w:tab/>
        </w:r>
        <w:r>
          <w:fldChar w:fldCharType="begin"/>
        </w:r>
        <w:r>
          <w:instrText xml:space="preserve"> PAGEREF _Toc256000078 \h </w:instrText>
        </w:r>
        <w:r>
          <w:fldChar w:fldCharType="separate"/>
        </w:r>
        <w:r>
          <w:t>29</w:t>
        </w:r>
        <w:r>
          <w:fldChar w:fldCharType="end"/>
        </w:r>
      </w:hyperlink>
    </w:p>
    <w:p>
      <w:pPr>
        <w:pStyle w:val="TOC2"/>
        <w:tabs>
          <w:tab w:val="right" w:leader="dot" w:pos="10240"/>
        </w:tabs>
        <w:rPr>
          <w:rFonts w:ascii="Calibri" w:hAnsi="Calibri"/>
          <w:noProof/>
          <w:sz w:val="22"/>
        </w:rPr>
      </w:pPr>
      <w:hyperlink w:anchor="_Toc256000079" w:history="1">
        <w:r w:rsidR="00A77B3E">
          <w:rPr>
            <w:rStyle w:val="Hyperlink"/>
            <w:rFonts w:ascii="TimesNewRoman" w:eastAsia="TimesNewRoman" w:hAnsi="TimesNewRoman" w:cs="TimesNewRoman"/>
          </w:rPr>
          <w:t>2.1. Specifični cilj: 3. Vrnitev</w:t>
        </w:r>
        <w:r>
          <w:tab/>
        </w:r>
        <w:r>
          <w:fldChar w:fldCharType="begin"/>
        </w:r>
        <w:r>
          <w:instrText xml:space="preserve"> PAGEREF _Toc256000079 \h </w:instrText>
        </w:r>
        <w:r>
          <w:fldChar w:fldCharType="separate"/>
        </w:r>
        <w:r>
          <w:t>30</w:t>
        </w:r>
        <w:r>
          <w:fldChar w:fldCharType="end"/>
        </w:r>
      </w:hyperlink>
    </w:p>
    <w:p>
      <w:pPr>
        <w:pStyle w:val="TOC3"/>
        <w:tabs>
          <w:tab w:val="right" w:leader="dot" w:pos="10240"/>
        </w:tabs>
        <w:rPr>
          <w:rFonts w:ascii="Calibri" w:hAnsi="Calibri"/>
          <w:noProof/>
          <w:sz w:val="22"/>
        </w:rPr>
      </w:pPr>
      <w:hyperlink w:anchor="_Toc256000080" w:history="1">
        <w:r w:rsidR="00A77B3E">
          <w:rPr>
            <w:rStyle w:val="Hyperlink"/>
            <w:rFonts w:ascii="TimesNewRoman" w:eastAsia="TimesNewRoman" w:hAnsi="TimesNewRoman" w:cs="TimesNewRoman"/>
          </w:rPr>
          <w:t>2.1.1. Opis specifičnega cilja</w:t>
        </w:r>
        <w:r>
          <w:tab/>
        </w:r>
        <w:r>
          <w:fldChar w:fldCharType="begin"/>
        </w:r>
        <w:r>
          <w:instrText xml:space="preserve"> PAGEREF _Toc256000080 \h </w:instrText>
        </w:r>
        <w:r>
          <w:fldChar w:fldCharType="separate"/>
        </w:r>
        <w:r>
          <w:t>30</w:t>
        </w:r>
        <w:r>
          <w:fldChar w:fldCharType="end"/>
        </w:r>
      </w:hyperlink>
    </w:p>
    <w:p>
      <w:pPr>
        <w:pStyle w:val="TOC3"/>
        <w:tabs>
          <w:tab w:val="right" w:leader="dot" w:pos="10240"/>
        </w:tabs>
        <w:rPr>
          <w:rFonts w:ascii="Calibri" w:hAnsi="Calibri"/>
          <w:noProof/>
          <w:sz w:val="22"/>
        </w:rPr>
      </w:pPr>
      <w:hyperlink w:anchor="_Toc256000081" w:history="1">
        <w:r w:rsidR="00A77B3E">
          <w:rPr>
            <w:rStyle w:val="Hyperlink"/>
            <w:rFonts w:ascii="Times New Roman" w:hAnsi="Times New Roman" w:cs="Times New Roman"/>
          </w:rPr>
          <w:t>2.1.2. Kazalniki</w:t>
        </w:r>
        <w:r>
          <w:tab/>
        </w:r>
        <w:r>
          <w:fldChar w:fldCharType="begin"/>
        </w:r>
        <w:r>
          <w:instrText xml:space="preserve"> PAGEREF _Toc256000081 \h </w:instrText>
        </w:r>
        <w:r>
          <w:fldChar w:fldCharType="separate"/>
        </w:r>
        <w:r>
          <w:t>33</w:t>
        </w:r>
        <w:r>
          <w:fldChar w:fldCharType="end"/>
        </w:r>
      </w:hyperlink>
    </w:p>
    <w:p>
      <w:pPr>
        <w:pStyle w:val="TOC4"/>
        <w:tabs>
          <w:tab w:val="right" w:leader="dot" w:pos="10240"/>
        </w:tabs>
        <w:rPr>
          <w:rFonts w:ascii="Calibri" w:hAnsi="Calibri"/>
          <w:noProof/>
          <w:sz w:val="22"/>
        </w:rPr>
      </w:pPr>
      <w:hyperlink w:anchor="_Toc256000082" w:history="1">
        <w:r w:rsidR="00A77B3E">
          <w:rPr>
            <w:rStyle w:val="Hyperlink"/>
          </w:rPr>
          <w:t>Tabela 1: Kazalniki učinka</w:t>
        </w:r>
        <w:r>
          <w:tab/>
        </w:r>
        <w:r>
          <w:fldChar w:fldCharType="begin"/>
        </w:r>
        <w:r>
          <w:instrText xml:space="preserve"> PAGEREF _Toc256000082 \h </w:instrText>
        </w:r>
        <w:r>
          <w:fldChar w:fldCharType="separate"/>
        </w:r>
        <w:r>
          <w:t>33</w:t>
        </w:r>
        <w:r>
          <w:fldChar w:fldCharType="end"/>
        </w:r>
      </w:hyperlink>
    </w:p>
    <w:p>
      <w:pPr>
        <w:pStyle w:val="TOC4"/>
        <w:tabs>
          <w:tab w:val="right" w:leader="dot" w:pos="10240"/>
        </w:tabs>
        <w:rPr>
          <w:rFonts w:ascii="Calibri" w:hAnsi="Calibri"/>
          <w:noProof/>
          <w:sz w:val="22"/>
        </w:rPr>
      </w:pPr>
      <w:hyperlink w:anchor="_Toc256000083" w:history="1">
        <w:r w:rsidR="00A77B3E">
          <w:rPr>
            <w:rStyle w:val="Hyperlink"/>
          </w:rPr>
          <w:t>Tabela 2: Kazalniki rezultatov</w:t>
        </w:r>
        <w:r>
          <w:tab/>
        </w:r>
        <w:r>
          <w:fldChar w:fldCharType="begin"/>
        </w:r>
        <w:r>
          <w:instrText xml:space="preserve"> PAGEREF _Toc256000083 \h </w:instrText>
        </w:r>
        <w:r>
          <w:fldChar w:fldCharType="separate"/>
        </w:r>
        <w:r>
          <w:t>34</w:t>
        </w:r>
        <w:r>
          <w:fldChar w:fldCharType="end"/>
        </w:r>
      </w:hyperlink>
    </w:p>
    <w:p>
      <w:pPr>
        <w:pStyle w:val="TOC3"/>
        <w:tabs>
          <w:tab w:val="right" w:leader="dot" w:pos="10240"/>
        </w:tabs>
        <w:rPr>
          <w:rFonts w:ascii="Calibri" w:hAnsi="Calibri"/>
          <w:noProof/>
          <w:sz w:val="22"/>
        </w:rPr>
      </w:pPr>
      <w:hyperlink w:anchor="_Toc256000084" w:history="1">
        <w:r w:rsidR="00A77B3E">
          <w:rPr>
            <w:rStyle w:val="Hyperlink"/>
            <w:rFonts w:ascii="Times New Roman" w:hAnsi="Times New Roman" w:cs="Times New Roman"/>
          </w:rPr>
          <w:t>2.1.3. Okvirna razčlenitev programskih sredstev (EU) po vrsti ukrepa</w:t>
        </w:r>
        <w:r>
          <w:tab/>
        </w:r>
        <w:r>
          <w:fldChar w:fldCharType="begin"/>
        </w:r>
        <w:r>
          <w:instrText xml:space="preserve"> PAGEREF _Toc256000084 \h </w:instrText>
        </w:r>
        <w:r>
          <w:fldChar w:fldCharType="separate"/>
        </w:r>
        <w:r>
          <w:t>35</w:t>
        </w:r>
        <w:r>
          <w:fldChar w:fldCharType="end"/>
        </w:r>
      </w:hyperlink>
    </w:p>
    <w:p>
      <w:pPr>
        <w:pStyle w:val="TOC4"/>
        <w:tabs>
          <w:tab w:val="right" w:leader="dot" w:pos="10240"/>
        </w:tabs>
        <w:rPr>
          <w:rFonts w:ascii="Calibri" w:hAnsi="Calibri"/>
          <w:noProof/>
          <w:sz w:val="22"/>
        </w:rPr>
      </w:pPr>
      <w:hyperlink w:anchor="_Toc256000085" w:history="1">
        <w:r w:rsidR="00A77B3E">
          <w:rPr>
            <w:rStyle w:val="Hyperlink"/>
          </w:rPr>
          <w:t>Tabela 3: Okvirna razčlenitev</w:t>
        </w:r>
        <w:r>
          <w:tab/>
        </w:r>
        <w:r>
          <w:fldChar w:fldCharType="begin"/>
        </w:r>
        <w:r>
          <w:instrText xml:space="preserve"> PAGEREF _Toc256000085 \h </w:instrText>
        </w:r>
        <w:r>
          <w:fldChar w:fldCharType="separate"/>
        </w:r>
        <w:r>
          <w:t>35</w:t>
        </w:r>
        <w:r>
          <w:fldChar w:fldCharType="end"/>
        </w:r>
      </w:hyperlink>
    </w:p>
    <w:p>
      <w:pPr>
        <w:pStyle w:val="TOC2"/>
        <w:tabs>
          <w:tab w:val="right" w:leader="dot" w:pos="10240"/>
        </w:tabs>
        <w:rPr>
          <w:rFonts w:ascii="Calibri" w:hAnsi="Calibri"/>
          <w:noProof/>
          <w:sz w:val="22"/>
        </w:rPr>
      </w:pPr>
      <w:hyperlink w:anchor="_Toc256000086" w:history="1">
        <w:r w:rsidR="00A77B3E">
          <w:rPr>
            <w:rStyle w:val="Hyperlink"/>
            <w:rFonts w:ascii="TimesNewRoman" w:eastAsia="TimesNewRoman" w:hAnsi="TimesNewRoman" w:cs="TimesNewRoman"/>
          </w:rPr>
          <w:t>2.1. Specifični cilj: 4. Solidarnost</w:t>
        </w:r>
        <w:r>
          <w:tab/>
        </w:r>
        <w:r>
          <w:fldChar w:fldCharType="begin"/>
        </w:r>
        <w:r>
          <w:instrText xml:space="preserve"> PAGEREF _Toc256000086 \h </w:instrText>
        </w:r>
        <w:r>
          <w:fldChar w:fldCharType="separate"/>
        </w:r>
        <w:r>
          <w:t>36</w:t>
        </w:r>
        <w:r>
          <w:fldChar w:fldCharType="end"/>
        </w:r>
      </w:hyperlink>
    </w:p>
    <w:p>
      <w:pPr>
        <w:pStyle w:val="TOC3"/>
        <w:tabs>
          <w:tab w:val="right" w:leader="dot" w:pos="10240"/>
        </w:tabs>
        <w:rPr>
          <w:rFonts w:ascii="Calibri" w:hAnsi="Calibri"/>
          <w:noProof/>
          <w:sz w:val="22"/>
        </w:rPr>
      </w:pPr>
      <w:hyperlink w:anchor="_Toc256000087" w:history="1">
        <w:r w:rsidR="00A77B3E">
          <w:rPr>
            <w:rStyle w:val="Hyperlink"/>
            <w:rFonts w:ascii="TimesNewRoman" w:eastAsia="TimesNewRoman" w:hAnsi="TimesNewRoman" w:cs="TimesNewRoman"/>
          </w:rPr>
          <w:t>2.1.1. Opis specifičnega cilja</w:t>
        </w:r>
        <w:r>
          <w:tab/>
        </w:r>
        <w:r>
          <w:fldChar w:fldCharType="begin"/>
        </w:r>
        <w:r>
          <w:instrText xml:space="preserve"> PAGEREF _Toc256000087 \h </w:instrText>
        </w:r>
        <w:r>
          <w:fldChar w:fldCharType="separate"/>
        </w:r>
        <w:r>
          <w:t>36</w:t>
        </w:r>
        <w:r>
          <w:fldChar w:fldCharType="end"/>
        </w:r>
      </w:hyperlink>
    </w:p>
    <w:p>
      <w:pPr>
        <w:pStyle w:val="TOC3"/>
        <w:tabs>
          <w:tab w:val="right" w:leader="dot" w:pos="10240"/>
        </w:tabs>
        <w:rPr>
          <w:rFonts w:ascii="Calibri" w:hAnsi="Calibri"/>
          <w:noProof/>
          <w:sz w:val="22"/>
        </w:rPr>
      </w:pPr>
      <w:hyperlink w:anchor="_Toc256000088" w:history="1">
        <w:r w:rsidR="00A77B3E">
          <w:rPr>
            <w:rStyle w:val="Hyperlink"/>
            <w:rFonts w:ascii="Times New Roman" w:hAnsi="Times New Roman" w:cs="Times New Roman"/>
          </w:rPr>
          <w:t>2.1.2. Kazalniki</w:t>
        </w:r>
        <w:r>
          <w:tab/>
        </w:r>
        <w:r>
          <w:fldChar w:fldCharType="begin"/>
        </w:r>
        <w:r>
          <w:instrText xml:space="preserve"> PAGEREF _Toc256000088 \h </w:instrText>
        </w:r>
        <w:r>
          <w:fldChar w:fldCharType="separate"/>
        </w:r>
        <w:r>
          <w:t>37</w:t>
        </w:r>
        <w:r>
          <w:fldChar w:fldCharType="end"/>
        </w:r>
      </w:hyperlink>
    </w:p>
    <w:p>
      <w:pPr>
        <w:pStyle w:val="TOC4"/>
        <w:tabs>
          <w:tab w:val="right" w:leader="dot" w:pos="10240"/>
        </w:tabs>
        <w:rPr>
          <w:rFonts w:ascii="Calibri" w:hAnsi="Calibri"/>
          <w:noProof/>
          <w:sz w:val="22"/>
        </w:rPr>
      </w:pPr>
      <w:hyperlink w:anchor="_Toc256000089" w:history="1">
        <w:r w:rsidR="00A77B3E">
          <w:rPr>
            <w:rStyle w:val="Hyperlink"/>
          </w:rPr>
          <w:t>Tabela 1: Kazalniki učinka</w:t>
        </w:r>
        <w:r>
          <w:tab/>
        </w:r>
        <w:r>
          <w:fldChar w:fldCharType="begin"/>
        </w:r>
        <w:r>
          <w:instrText xml:space="preserve"> PAGEREF _Toc256000089 \h </w:instrText>
        </w:r>
        <w:r>
          <w:fldChar w:fldCharType="separate"/>
        </w:r>
        <w:r>
          <w:t>37</w:t>
        </w:r>
        <w:r>
          <w:fldChar w:fldCharType="end"/>
        </w:r>
      </w:hyperlink>
    </w:p>
    <w:p>
      <w:pPr>
        <w:pStyle w:val="TOC4"/>
        <w:tabs>
          <w:tab w:val="right" w:leader="dot" w:pos="10240"/>
        </w:tabs>
        <w:rPr>
          <w:rFonts w:ascii="Calibri" w:hAnsi="Calibri"/>
          <w:noProof/>
          <w:sz w:val="22"/>
        </w:rPr>
      </w:pPr>
      <w:hyperlink w:anchor="_Toc256000090" w:history="1">
        <w:r w:rsidR="00A77B3E">
          <w:rPr>
            <w:rStyle w:val="Hyperlink"/>
          </w:rPr>
          <w:t>Tabela 2: Kazalniki rezultatov</w:t>
        </w:r>
        <w:r>
          <w:tab/>
        </w:r>
        <w:r>
          <w:fldChar w:fldCharType="begin"/>
        </w:r>
        <w:r>
          <w:instrText xml:space="preserve"> PAGEREF _Toc256000090 \h </w:instrText>
        </w:r>
        <w:r>
          <w:fldChar w:fldCharType="separate"/>
        </w:r>
        <w:r>
          <w:t>38</w:t>
        </w:r>
        <w:r>
          <w:fldChar w:fldCharType="end"/>
        </w:r>
      </w:hyperlink>
    </w:p>
    <w:p>
      <w:pPr>
        <w:pStyle w:val="TOC3"/>
        <w:tabs>
          <w:tab w:val="right" w:leader="dot" w:pos="10240"/>
        </w:tabs>
        <w:rPr>
          <w:rFonts w:ascii="Calibri" w:hAnsi="Calibri"/>
          <w:noProof/>
          <w:sz w:val="22"/>
        </w:rPr>
      </w:pPr>
      <w:hyperlink w:anchor="_Toc256000091" w:history="1">
        <w:r w:rsidR="00A77B3E">
          <w:rPr>
            <w:rStyle w:val="Hyperlink"/>
            <w:rFonts w:ascii="Times New Roman" w:hAnsi="Times New Roman" w:cs="Times New Roman"/>
          </w:rPr>
          <w:t>2.1.3. Okvirna razčlenitev programskih sredstev (EU) po vrsti ukrepa</w:t>
        </w:r>
        <w:r>
          <w:tab/>
        </w:r>
        <w:r>
          <w:fldChar w:fldCharType="begin"/>
        </w:r>
        <w:r>
          <w:instrText xml:space="preserve"> PAGEREF _Toc256000091 \h </w:instrText>
        </w:r>
        <w:r>
          <w:fldChar w:fldCharType="separate"/>
        </w:r>
        <w:r>
          <w:t>39</w:t>
        </w:r>
        <w:r>
          <w:fldChar w:fldCharType="end"/>
        </w:r>
      </w:hyperlink>
    </w:p>
    <w:p>
      <w:pPr>
        <w:pStyle w:val="TOC4"/>
        <w:tabs>
          <w:tab w:val="right" w:leader="dot" w:pos="10240"/>
        </w:tabs>
        <w:rPr>
          <w:rFonts w:ascii="Calibri" w:hAnsi="Calibri"/>
          <w:noProof/>
          <w:sz w:val="22"/>
        </w:rPr>
      </w:pPr>
      <w:hyperlink w:anchor="_Toc256000092" w:history="1">
        <w:r w:rsidR="00A77B3E">
          <w:rPr>
            <w:rStyle w:val="Hyperlink"/>
          </w:rPr>
          <w:t>Tabela 3: Okvirna razčlenitev</w:t>
        </w:r>
        <w:r>
          <w:tab/>
        </w:r>
        <w:r>
          <w:fldChar w:fldCharType="begin"/>
        </w:r>
        <w:r>
          <w:instrText xml:space="preserve"> PAGEREF _Toc256000092 \h </w:instrText>
        </w:r>
        <w:r>
          <w:fldChar w:fldCharType="separate"/>
        </w:r>
        <w:r>
          <w:t>39</w:t>
        </w:r>
        <w:r>
          <w:fldChar w:fldCharType="end"/>
        </w:r>
      </w:hyperlink>
    </w:p>
    <w:p>
      <w:pPr>
        <w:pStyle w:val="TOC2"/>
        <w:tabs>
          <w:tab w:val="right" w:leader="dot" w:pos="10240"/>
        </w:tabs>
        <w:rPr>
          <w:rFonts w:ascii="Calibri" w:hAnsi="Calibri"/>
          <w:noProof/>
          <w:sz w:val="22"/>
        </w:rPr>
      </w:pPr>
      <w:hyperlink w:anchor="_Toc256000093" w:history="1">
        <w:r w:rsidR="00A77B3E">
          <w:rPr>
            <w:rStyle w:val="Hyperlink"/>
            <w:rFonts w:ascii="TimesNewRoman" w:eastAsia="TimesNewRoman" w:hAnsi="TimesNewRoman" w:cs="TimesNewRoman"/>
          </w:rPr>
          <w:t>2.2. Tehnična pomoč: TA.36(5). Tehnična pomoč – pavšalna stopnja(člen 36(5) uredbe o skupnih določbah)</w:t>
        </w:r>
        <w:r>
          <w:tab/>
        </w:r>
        <w:r>
          <w:fldChar w:fldCharType="begin"/>
        </w:r>
        <w:r>
          <w:instrText xml:space="preserve"> PAGEREF _Toc256000093 \h </w:instrText>
        </w:r>
        <w:r>
          <w:fldChar w:fldCharType="separate"/>
        </w:r>
        <w:r>
          <w:t>40</w:t>
        </w:r>
        <w:r>
          <w:fldChar w:fldCharType="end"/>
        </w:r>
      </w:hyperlink>
    </w:p>
    <w:p>
      <w:pPr>
        <w:pStyle w:val="TOC3"/>
        <w:tabs>
          <w:tab w:val="right" w:leader="dot" w:pos="10240"/>
        </w:tabs>
        <w:rPr>
          <w:rFonts w:ascii="Calibri" w:hAnsi="Calibri"/>
          <w:noProof/>
          <w:sz w:val="22"/>
        </w:rPr>
      </w:pPr>
      <w:hyperlink w:anchor="_Toc256000094" w:history="1">
        <w:r w:rsidR="00A77B3E">
          <w:rPr>
            <w:rStyle w:val="Hyperlink"/>
            <w:rFonts w:ascii="TimesNewRoman" w:eastAsia="TimesNewRoman" w:hAnsi="TimesNewRoman" w:cs="TimesNewRoman"/>
          </w:rPr>
          <w:t>2.2.1. Opis</w:t>
        </w:r>
        <w:r>
          <w:tab/>
        </w:r>
        <w:r>
          <w:fldChar w:fldCharType="begin"/>
        </w:r>
        <w:r>
          <w:instrText xml:space="preserve"> PAGEREF _Toc256000094 \h </w:instrText>
        </w:r>
        <w:r>
          <w:fldChar w:fldCharType="separate"/>
        </w:r>
        <w:r>
          <w:t>40</w:t>
        </w:r>
        <w:r>
          <w:fldChar w:fldCharType="end"/>
        </w:r>
      </w:hyperlink>
    </w:p>
    <w:p>
      <w:pPr>
        <w:pStyle w:val="TOC3"/>
        <w:tabs>
          <w:tab w:val="right" w:leader="dot" w:pos="10240"/>
        </w:tabs>
        <w:rPr>
          <w:rFonts w:ascii="Calibri" w:hAnsi="Calibri"/>
          <w:noProof/>
          <w:sz w:val="22"/>
        </w:rPr>
      </w:pPr>
      <w:hyperlink w:anchor="_Toc256000095" w:history="1">
        <w:r w:rsidR="00A77B3E">
          <w:rPr>
            <w:rStyle w:val="Hyperlink"/>
            <w:rFonts w:ascii="Times New Roman" w:hAnsi="Times New Roman" w:cs="Times New Roman"/>
          </w:rPr>
          <w:t>2.2.2. Okvirna razčlenitev tehnične pomoči v skladu s členom 37 uredbe o skupnih določbah</w:t>
        </w:r>
        <w:r>
          <w:tab/>
        </w:r>
        <w:r>
          <w:fldChar w:fldCharType="begin"/>
        </w:r>
        <w:r>
          <w:instrText xml:space="preserve"> PAGEREF _Toc256000095 \h </w:instrText>
        </w:r>
        <w:r>
          <w:fldChar w:fldCharType="separate"/>
        </w:r>
        <w:r>
          <w:t>41</w:t>
        </w:r>
        <w:r>
          <w:fldChar w:fldCharType="end"/>
        </w:r>
      </w:hyperlink>
    </w:p>
    <w:p>
      <w:pPr>
        <w:pStyle w:val="TOC4"/>
        <w:tabs>
          <w:tab w:val="right" w:leader="dot" w:pos="10240"/>
        </w:tabs>
        <w:rPr>
          <w:rFonts w:ascii="Calibri" w:hAnsi="Calibri"/>
          <w:noProof/>
          <w:sz w:val="22"/>
        </w:rPr>
      </w:pPr>
      <w:hyperlink w:anchor="_Toc256000096" w:history="1">
        <w:r w:rsidR="00A77B3E">
          <w:rPr>
            <w:rStyle w:val="Hyperlink"/>
          </w:rPr>
          <w:t>Tabela 4: Okvirna razčlenitev</w:t>
        </w:r>
        <w:r>
          <w:tab/>
        </w:r>
        <w:r>
          <w:fldChar w:fldCharType="begin"/>
        </w:r>
        <w:r>
          <w:instrText xml:space="preserve"> PAGEREF _Toc256000096 \h </w:instrText>
        </w:r>
        <w:r>
          <w:fldChar w:fldCharType="separate"/>
        </w:r>
        <w:r>
          <w:t>41</w:t>
        </w:r>
        <w:r>
          <w:fldChar w:fldCharType="end"/>
        </w:r>
      </w:hyperlink>
    </w:p>
    <w:p>
      <w:pPr>
        <w:pStyle w:val="TOC1"/>
        <w:tabs>
          <w:tab w:val="right" w:leader="dot" w:pos="10240"/>
        </w:tabs>
        <w:rPr>
          <w:rFonts w:ascii="Calibri" w:hAnsi="Calibri"/>
          <w:noProof/>
          <w:sz w:val="22"/>
        </w:rPr>
      </w:pPr>
      <w:hyperlink w:anchor="_Toc256000097" w:history="1">
        <w:r w:rsidR="00A77B3E">
          <w:rPr>
            <w:rStyle w:val="Hyperlink"/>
            <w:rFonts w:ascii="Times New Roman" w:hAnsi="Times New Roman" w:cs="Times New Roman"/>
          </w:rPr>
          <w:t>3. Načrt financiranja</w:t>
        </w:r>
        <w:r>
          <w:tab/>
        </w:r>
        <w:r>
          <w:fldChar w:fldCharType="begin"/>
        </w:r>
        <w:r>
          <w:instrText xml:space="preserve"> PAGEREF _Toc256000097 \h </w:instrText>
        </w:r>
        <w:r>
          <w:fldChar w:fldCharType="separate"/>
        </w:r>
        <w:r>
          <w:t>42</w:t>
        </w:r>
        <w:r>
          <w:fldChar w:fldCharType="end"/>
        </w:r>
      </w:hyperlink>
    </w:p>
    <w:p>
      <w:pPr>
        <w:pStyle w:val="TOC2"/>
        <w:tabs>
          <w:tab w:val="right" w:leader="dot" w:pos="10240"/>
        </w:tabs>
        <w:rPr>
          <w:rFonts w:ascii="Calibri" w:hAnsi="Calibri"/>
          <w:noProof/>
          <w:sz w:val="22"/>
        </w:rPr>
      </w:pPr>
      <w:hyperlink w:anchor="_Toc256000098" w:history="1">
        <w:r w:rsidR="00A77B3E">
          <w:rPr>
            <w:rStyle w:val="Hyperlink"/>
            <w:rFonts w:ascii="TimesNewRoman" w:eastAsia="TimesNewRoman" w:hAnsi="TimesNewRoman" w:cs="TimesNewRoman"/>
          </w:rPr>
          <w:t>3.1. Finančna sredstva po letih</w:t>
        </w:r>
        <w:r>
          <w:tab/>
        </w:r>
        <w:r>
          <w:fldChar w:fldCharType="begin"/>
        </w:r>
        <w:r>
          <w:instrText xml:space="preserve"> PAGEREF _Toc256000098 \h </w:instrText>
        </w:r>
        <w:r>
          <w:fldChar w:fldCharType="separate"/>
        </w:r>
        <w:r>
          <w:t>42</w:t>
        </w:r>
        <w:r>
          <w:fldChar w:fldCharType="end"/>
        </w:r>
      </w:hyperlink>
    </w:p>
    <w:p>
      <w:pPr>
        <w:pStyle w:val="TOC4"/>
        <w:tabs>
          <w:tab w:val="right" w:leader="dot" w:pos="10240"/>
        </w:tabs>
        <w:rPr>
          <w:rFonts w:ascii="Calibri" w:hAnsi="Calibri"/>
          <w:noProof/>
          <w:sz w:val="22"/>
        </w:rPr>
      </w:pPr>
      <w:hyperlink w:anchor="_Toc256000099" w:history="1">
        <w:r w:rsidR="00A77B3E">
          <w:rPr>
            <w:rStyle w:val="Hyperlink"/>
            <w:rFonts w:ascii="TimesNewRoman" w:eastAsia="TimesNewRoman" w:hAnsi="TimesNewRoman" w:cs="TimesNewRoman"/>
          </w:rPr>
          <w:t>Tabela 5: Finančna sredstva po letih</w:t>
        </w:r>
        <w:r>
          <w:tab/>
        </w:r>
        <w:r>
          <w:fldChar w:fldCharType="begin"/>
        </w:r>
        <w:r>
          <w:instrText xml:space="preserve"> PAGEREF _Toc256000099 \h </w:instrText>
        </w:r>
        <w:r>
          <w:fldChar w:fldCharType="separate"/>
        </w:r>
        <w:r>
          <w:t>42</w:t>
        </w:r>
        <w:r>
          <w:fldChar w:fldCharType="end"/>
        </w:r>
      </w:hyperlink>
    </w:p>
    <w:p>
      <w:pPr>
        <w:pStyle w:val="TOC2"/>
        <w:tabs>
          <w:tab w:val="right" w:leader="dot" w:pos="10240"/>
        </w:tabs>
        <w:rPr>
          <w:rFonts w:ascii="Calibri" w:hAnsi="Calibri"/>
          <w:noProof/>
          <w:sz w:val="22"/>
        </w:rPr>
      </w:pPr>
      <w:hyperlink w:anchor="_Toc256000100" w:history="1">
        <w:r w:rsidR="00A77B3E">
          <w:rPr>
            <w:rStyle w:val="Hyperlink"/>
            <w:rFonts w:ascii="TimesNewRoman" w:eastAsia="TimesNewRoman" w:hAnsi="TimesNewRoman" w:cs="TimesNewRoman"/>
          </w:rPr>
          <w:t>3.2. Skupna dodelitev finančnih sredstev</w:t>
        </w:r>
        <w:r>
          <w:tab/>
        </w:r>
        <w:r>
          <w:fldChar w:fldCharType="begin"/>
        </w:r>
        <w:r>
          <w:instrText xml:space="preserve"> PAGEREF _Toc256000100 \h </w:instrText>
        </w:r>
        <w:r>
          <w:fldChar w:fldCharType="separate"/>
        </w:r>
        <w:r>
          <w:t>43</w:t>
        </w:r>
        <w:r>
          <w:fldChar w:fldCharType="end"/>
        </w:r>
      </w:hyperlink>
    </w:p>
    <w:p>
      <w:pPr>
        <w:pStyle w:val="TOC4"/>
        <w:tabs>
          <w:tab w:val="right" w:leader="dot" w:pos="10240"/>
        </w:tabs>
        <w:rPr>
          <w:rFonts w:ascii="Calibri" w:hAnsi="Calibri"/>
          <w:noProof/>
          <w:sz w:val="22"/>
        </w:rPr>
      </w:pPr>
      <w:hyperlink w:anchor="_Toc256000101" w:history="1">
        <w:r w:rsidR="00A77B3E">
          <w:rPr>
            <w:rStyle w:val="Hyperlink"/>
            <w:rFonts w:ascii="TimesNewRoman" w:eastAsia="TimesNewRoman" w:hAnsi="TimesNewRoman" w:cs="TimesNewRoman"/>
          </w:rPr>
          <w:t>Tabela 6: Skupna dodelitev finančnih sredstev po skladih in nacionalni prispevek</w:t>
        </w:r>
        <w:r>
          <w:tab/>
        </w:r>
        <w:r>
          <w:fldChar w:fldCharType="begin"/>
        </w:r>
        <w:r>
          <w:instrText xml:space="preserve"> PAGEREF _Toc256000101 \h </w:instrText>
        </w:r>
        <w:r>
          <w:fldChar w:fldCharType="separate"/>
        </w:r>
        <w:r>
          <w:t>43</w:t>
        </w:r>
        <w:r>
          <w:fldChar w:fldCharType="end"/>
        </w:r>
      </w:hyperlink>
    </w:p>
    <w:p>
      <w:pPr>
        <w:pStyle w:val="TOC4"/>
        <w:tabs>
          <w:tab w:val="right" w:leader="dot" w:pos="10240"/>
        </w:tabs>
        <w:rPr>
          <w:rFonts w:ascii="Calibri" w:hAnsi="Calibri"/>
          <w:noProof/>
          <w:sz w:val="22"/>
        </w:rPr>
      </w:pPr>
      <w:hyperlink w:anchor="_Toc256000102" w:history="1">
        <w:r w:rsidR="00A77B3E">
          <w:rPr>
            <w:rStyle w:val="Hyperlink"/>
            <w:rFonts w:ascii="TimesNewRoman" w:eastAsia="TimesNewRoman" w:hAnsi="TimesNewRoman" w:cs="TimesNewRoman"/>
          </w:rPr>
          <w:t>Tabela 6A: Načrt zaveze</w:t>
        </w:r>
        <w:r>
          <w:tab/>
        </w:r>
        <w:r>
          <w:fldChar w:fldCharType="begin"/>
        </w:r>
        <w:r>
          <w:instrText xml:space="preserve"> PAGEREF _Toc256000102 \h </w:instrText>
        </w:r>
        <w:r>
          <w:fldChar w:fldCharType="separate"/>
        </w:r>
        <w:r>
          <w:t>44</w:t>
        </w:r>
        <w:r>
          <w:fldChar w:fldCharType="end"/>
        </w:r>
      </w:hyperlink>
    </w:p>
    <w:p>
      <w:pPr>
        <w:pStyle w:val="TOC2"/>
        <w:tabs>
          <w:tab w:val="right" w:leader="dot" w:pos="10240"/>
        </w:tabs>
        <w:rPr>
          <w:rFonts w:ascii="Calibri" w:hAnsi="Calibri"/>
          <w:noProof/>
          <w:sz w:val="22"/>
        </w:rPr>
      </w:pPr>
      <w:hyperlink w:anchor="_Toc256000103" w:history="1">
        <w:r w:rsidR="00A77B3E">
          <w:rPr>
            <w:rStyle w:val="Hyperlink"/>
            <w:rFonts w:ascii="TimesNewRoman" w:eastAsia="TimesNewRoman" w:hAnsi="TimesNewRoman" w:cs="TimesNewRoman"/>
          </w:rPr>
          <w:t>3.3. Prerazporeditve</w:t>
        </w:r>
        <w:r>
          <w:tab/>
        </w:r>
        <w:r>
          <w:fldChar w:fldCharType="begin"/>
        </w:r>
        <w:r>
          <w:instrText xml:space="preserve"> PAGEREF _Toc256000103 \h </w:instrText>
        </w:r>
        <w:r>
          <w:fldChar w:fldCharType="separate"/>
        </w:r>
        <w:r>
          <w:t>45</w:t>
        </w:r>
        <w:r>
          <w:fldChar w:fldCharType="end"/>
        </w:r>
      </w:hyperlink>
    </w:p>
    <w:p>
      <w:pPr>
        <w:pStyle w:val="TOC1"/>
        <w:tabs>
          <w:tab w:val="right" w:leader="dot" w:pos="10240"/>
        </w:tabs>
        <w:rPr>
          <w:rFonts w:ascii="Calibri" w:hAnsi="Calibri"/>
          <w:noProof/>
          <w:sz w:val="22"/>
        </w:rPr>
      </w:pPr>
      <w:hyperlink w:anchor="_Toc256000104" w:history="1">
        <w:r w:rsidR="00A77B3E">
          <w:rPr>
            <w:rStyle w:val="Hyperlink"/>
            <w:rFonts w:ascii="Times New Roman" w:hAnsi="Times New Roman" w:cs="Times New Roman"/>
          </w:rPr>
          <w:t>4. Omogočitveni pogoji</w:t>
        </w:r>
        <w:r>
          <w:tab/>
        </w:r>
        <w:r>
          <w:fldChar w:fldCharType="begin"/>
        </w:r>
        <w:r>
          <w:instrText xml:space="preserve"> PAGEREF _Toc256000104 \h </w:instrText>
        </w:r>
        <w:r>
          <w:fldChar w:fldCharType="separate"/>
        </w:r>
        <w:r>
          <w:t>47</w:t>
        </w:r>
        <w:r>
          <w:fldChar w:fldCharType="end"/>
        </w:r>
      </w:hyperlink>
    </w:p>
    <w:p>
      <w:pPr>
        <w:pStyle w:val="TOC2"/>
        <w:tabs>
          <w:tab w:val="right" w:leader="dot" w:pos="10240"/>
        </w:tabs>
        <w:rPr>
          <w:rFonts w:ascii="Calibri" w:hAnsi="Calibri"/>
          <w:noProof/>
          <w:sz w:val="22"/>
        </w:rPr>
      </w:pPr>
      <w:hyperlink w:anchor="_Toc256000105" w:history="1">
        <w:r w:rsidR="00A77B3E">
          <w:rPr>
            <w:rStyle w:val="Hyperlink"/>
            <w:rFonts w:ascii="Times New Roman" w:hAnsi="Times New Roman" w:cs="Times New Roman"/>
          </w:rPr>
          <w:t>Tabela 9: Horizontalni omogočitveni pogoji</w:t>
        </w:r>
        <w:r>
          <w:tab/>
        </w:r>
        <w:r>
          <w:fldChar w:fldCharType="begin"/>
        </w:r>
        <w:r>
          <w:instrText xml:space="preserve"> PAGEREF _Toc256000105 \h </w:instrText>
        </w:r>
        <w:r>
          <w:fldChar w:fldCharType="separate"/>
        </w:r>
        <w:r>
          <w:t>47</w:t>
        </w:r>
        <w:r>
          <w:fldChar w:fldCharType="end"/>
        </w:r>
      </w:hyperlink>
    </w:p>
    <w:p>
      <w:pPr>
        <w:pStyle w:val="TOC1"/>
        <w:tabs>
          <w:tab w:val="right" w:leader="dot" w:pos="10240"/>
        </w:tabs>
        <w:rPr>
          <w:rFonts w:ascii="Calibri" w:hAnsi="Calibri"/>
          <w:noProof/>
          <w:sz w:val="22"/>
        </w:rPr>
      </w:pPr>
      <w:hyperlink w:anchor="_Toc256000106" w:history="1">
        <w:r w:rsidR="00A77B3E">
          <w:rPr>
            <w:rStyle w:val="Hyperlink"/>
            <w:rFonts w:ascii="Times New Roman" w:hAnsi="Times New Roman" w:cs="Times New Roman"/>
          </w:rPr>
          <w:t>5. Organi, pristojni za program</w:t>
        </w:r>
        <w:r>
          <w:tab/>
        </w:r>
        <w:r>
          <w:fldChar w:fldCharType="begin"/>
        </w:r>
        <w:r>
          <w:instrText xml:space="preserve"> PAGEREF _Toc256000106 \h </w:instrText>
        </w:r>
        <w:r>
          <w:fldChar w:fldCharType="separate"/>
        </w:r>
        <w:r>
          <w:t>54</w:t>
        </w:r>
        <w:r>
          <w:fldChar w:fldCharType="end"/>
        </w:r>
      </w:hyperlink>
    </w:p>
    <w:p>
      <w:pPr>
        <w:pStyle w:val="TOC2"/>
        <w:tabs>
          <w:tab w:val="right" w:leader="dot" w:pos="10240"/>
        </w:tabs>
        <w:rPr>
          <w:rFonts w:ascii="Calibri" w:hAnsi="Calibri"/>
          <w:noProof/>
          <w:sz w:val="22"/>
        </w:rPr>
      </w:pPr>
      <w:hyperlink w:anchor="_Toc256000107" w:history="1">
        <w:r w:rsidR="00A77B3E">
          <w:rPr>
            <w:rStyle w:val="Hyperlink"/>
            <w:rFonts w:ascii="Times New Roman" w:hAnsi="Times New Roman" w:cs="Times New Roman"/>
          </w:rPr>
          <w:t>Tabela 10: Organi, pristojni za program</w:t>
        </w:r>
        <w:r>
          <w:tab/>
        </w:r>
        <w:r>
          <w:fldChar w:fldCharType="begin"/>
        </w:r>
        <w:r>
          <w:instrText xml:space="preserve"> PAGEREF _Toc256000107 \h </w:instrText>
        </w:r>
        <w:r>
          <w:fldChar w:fldCharType="separate"/>
        </w:r>
        <w:r>
          <w:t>54</w:t>
        </w:r>
        <w:r>
          <w:fldChar w:fldCharType="end"/>
        </w:r>
      </w:hyperlink>
    </w:p>
    <w:p>
      <w:pPr>
        <w:pStyle w:val="TOC1"/>
        <w:tabs>
          <w:tab w:val="right" w:leader="dot" w:pos="10240"/>
        </w:tabs>
        <w:rPr>
          <w:rFonts w:ascii="Calibri" w:hAnsi="Calibri"/>
          <w:noProof/>
          <w:sz w:val="22"/>
        </w:rPr>
      </w:pPr>
      <w:hyperlink w:anchor="_Toc256000108" w:history="1">
        <w:r w:rsidR="00A77B3E">
          <w:rPr>
            <w:rStyle w:val="Hyperlink"/>
            <w:rFonts w:ascii="Times New Roman" w:hAnsi="Times New Roman" w:cs="Times New Roman"/>
          </w:rPr>
          <w:t>6. Partnerstvo</w:t>
        </w:r>
        <w:r>
          <w:tab/>
        </w:r>
        <w:r>
          <w:fldChar w:fldCharType="begin"/>
        </w:r>
        <w:r>
          <w:instrText xml:space="preserve"> PAGEREF _Toc256000108 \h </w:instrText>
        </w:r>
        <w:r>
          <w:fldChar w:fldCharType="separate"/>
        </w:r>
        <w:r>
          <w:t>55</w:t>
        </w:r>
        <w:r>
          <w:fldChar w:fldCharType="end"/>
        </w:r>
      </w:hyperlink>
    </w:p>
    <w:p>
      <w:pPr>
        <w:pStyle w:val="TOC1"/>
        <w:tabs>
          <w:tab w:val="right" w:leader="dot" w:pos="10240"/>
        </w:tabs>
        <w:rPr>
          <w:rFonts w:ascii="Calibri" w:hAnsi="Calibri"/>
          <w:noProof/>
          <w:sz w:val="22"/>
        </w:rPr>
      </w:pPr>
      <w:hyperlink w:anchor="_Toc256000109" w:history="1">
        <w:r w:rsidR="00A77B3E">
          <w:rPr>
            <w:rStyle w:val="Hyperlink"/>
            <w:rFonts w:ascii="Times New Roman" w:hAnsi="Times New Roman" w:cs="Times New Roman"/>
          </w:rPr>
          <w:t>7. Komuniciranje in prepoznavnost</w:t>
        </w:r>
        <w:r>
          <w:tab/>
        </w:r>
        <w:r>
          <w:fldChar w:fldCharType="begin"/>
        </w:r>
        <w:r>
          <w:instrText xml:space="preserve"> PAGEREF _Toc256000109 \h </w:instrText>
        </w:r>
        <w:r>
          <w:fldChar w:fldCharType="separate"/>
        </w:r>
        <w:r>
          <w:t>58</w:t>
        </w:r>
        <w:r>
          <w:fldChar w:fldCharType="end"/>
        </w:r>
      </w:hyperlink>
    </w:p>
    <w:p>
      <w:pPr>
        <w:pStyle w:val="TOC1"/>
        <w:tabs>
          <w:tab w:val="right" w:leader="dot" w:pos="10240"/>
        </w:tabs>
        <w:rPr>
          <w:rFonts w:ascii="Calibri" w:hAnsi="Calibri"/>
          <w:noProof/>
          <w:sz w:val="22"/>
        </w:rPr>
      </w:pPr>
      <w:hyperlink w:anchor="_Toc256000110" w:history="1">
        <w:r w:rsidR="00A77B3E">
          <w:rPr>
            <w:rStyle w:val="Hyperlink"/>
            <w:rFonts w:ascii="Times New Roman" w:hAnsi="Times New Roman" w:cs="Times New Roman"/>
          </w:rPr>
          <w:t>8. Uporaba stroškov na enoto, pavšalnih zneskov, pavšalnih stopenj in financiranja, ki ni povezano s stroški</w:t>
        </w:r>
        <w:r>
          <w:tab/>
        </w:r>
        <w:r>
          <w:fldChar w:fldCharType="begin"/>
        </w:r>
        <w:r>
          <w:instrText xml:space="preserve"> PAGEREF _Toc256000110 \h </w:instrText>
        </w:r>
        <w:r>
          <w:fldChar w:fldCharType="separate"/>
        </w:r>
        <w:r>
          <w:t>60</w:t>
        </w:r>
        <w:r>
          <w:fldChar w:fldCharType="end"/>
        </w:r>
      </w:hyperlink>
    </w:p>
    <w:p>
      <w:pPr>
        <w:pStyle w:val="TOC1"/>
        <w:tabs>
          <w:tab w:val="right" w:leader="dot" w:pos="10240"/>
        </w:tabs>
        <w:rPr>
          <w:rFonts w:ascii="Calibri" w:hAnsi="Calibri"/>
          <w:noProof/>
          <w:sz w:val="22"/>
        </w:rPr>
      </w:pPr>
      <w:hyperlink w:anchor="_Toc256000111" w:history="1">
        <w:r w:rsidR="00A77B3E">
          <w:rPr>
            <w:rStyle w:val="Hyperlink"/>
            <w:rFonts w:ascii="Times New Roman" w:hAnsi="Times New Roman" w:cs="Times New Roman"/>
          </w:rPr>
          <w:t>Dodatek 1: Prispevek Unije na podlagi stroškov na enoto, pavšalnih zneskov in pavšalnih stopenj</w:t>
        </w:r>
        <w:r>
          <w:tab/>
        </w:r>
        <w:r>
          <w:fldChar w:fldCharType="begin"/>
        </w:r>
        <w:r>
          <w:instrText xml:space="preserve"> PAGEREF _Toc256000111 \h </w:instrText>
        </w:r>
        <w:r>
          <w:fldChar w:fldCharType="separate"/>
        </w:r>
        <w:r>
          <w:t>61</w:t>
        </w:r>
        <w:r>
          <w:fldChar w:fldCharType="end"/>
        </w:r>
      </w:hyperlink>
    </w:p>
    <w:p>
      <w:pPr>
        <w:pStyle w:val="TOC2"/>
        <w:tabs>
          <w:tab w:val="right" w:leader="dot" w:pos="10240"/>
        </w:tabs>
        <w:rPr>
          <w:rFonts w:ascii="Calibri" w:hAnsi="Calibri"/>
          <w:noProof/>
          <w:sz w:val="22"/>
        </w:rPr>
      </w:pPr>
      <w:hyperlink w:anchor="_Toc256000112" w:history="1">
        <w:r w:rsidR="00A77B3E">
          <w:rPr>
            <w:rStyle w:val="Hyperlink"/>
            <w:rFonts w:ascii="Times New Roman" w:hAnsi="Times New Roman" w:cs="Times New Roman"/>
          </w:rPr>
          <w:t>A. Povzetek glavnih elementov</w:t>
        </w:r>
        <w:r>
          <w:tab/>
        </w:r>
        <w:r>
          <w:fldChar w:fldCharType="begin"/>
        </w:r>
        <w:r>
          <w:instrText xml:space="preserve"> PAGEREF _Toc256000112 \h </w:instrText>
        </w:r>
        <w:r>
          <w:fldChar w:fldCharType="separate"/>
        </w:r>
        <w:r>
          <w:t>61</w:t>
        </w:r>
        <w:r>
          <w:fldChar w:fldCharType="end"/>
        </w:r>
      </w:hyperlink>
    </w:p>
    <w:p>
      <w:pPr>
        <w:pStyle w:val="TOC2"/>
        <w:tabs>
          <w:tab w:val="right" w:leader="dot" w:pos="10240"/>
        </w:tabs>
        <w:rPr>
          <w:rFonts w:ascii="Calibri" w:hAnsi="Calibri"/>
          <w:noProof/>
          <w:sz w:val="22"/>
        </w:rPr>
      </w:pPr>
      <w:hyperlink w:anchor="_Toc256000113" w:history="1">
        <w:r w:rsidR="00A77B3E">
          <w:rPr>
            <w:rStyle w:val="Hyperlink"/>
            <w:rFonts w:ascii="Times New Roman" w:hAnsi="Times New Roman" w:cs="Times New Roman"/>
          </w:rPr>
          <w:t>B. Podrobnosti glede na vrsto operacije</w:t>
        </w:r>
        <w:r>
          <w:tab/>
        </w:r>
        <w:r>
          <w:fldChar w:fldCharType="begin"/>
        </w:r>
        <w:r>
          <w:instrText xml:space="preserve"> PAGEREF _Toc256000113 \h </w:instrText>
        </w:r>
        <w:r>
          <w:fldChar w:fldCharType="separate"/>
        </w:r>
        <w:r>
          <w:t>62</w:t>
        </w:r>
        <w:r>
          <w:fldChar w:fldCharType="end"/>
        </w:r>
      </w:hyperlink>
    </w:p>
    <w:p>
      <w:pPr>
        <w:pStyle w:val="TOC2"/>
        <w:tabs>
          <w:tab w:val="right" w:leader="dot" w:pos="10240"/>
        </w:tabs>
        <w:rPr>
          <w:rFonts w:ascii="Calibri" w:hAnsi="Calibri"/>
          <w:noProof/>
          <w:sz w:val="22"/>
        </w:rPr>
      </w:pPr>
      <w:hyperlink w:anchor="_Toc256000114" w:history="1">
        <w:r w:rsidR="00A77B3E">
          <w:rPr>
            <w:rStyle w:val="Hyperlink"/>
            <w:rFonts w:ascii="TimesNewRoman" w:eastAsia="TimesNewRoman" w:hAnsi="TimesNewRoman" w:cs="TimesNewRoman"/>
          </w:rPr>
          <w:t>C. Izračun standardnih stroškov na enoto, pavšalnih zneskov in pavšalnih stopenj</w:t>
        </w:r>
        <w:r>
          <w:tab/>
        </w:r>
        <w:r>
          <w:fldChar w:fldCharType="begin"/>
        </w:r>
        <w:r>
          <w:instrText xml:space="preserve"> PAGEREF _Toc256000114 \h </w:instrText>
        </w:r>
        <w:r>
          <w:fldChar w:fldCharType="separate"/>
        </w:r>
        <w:r>
          <w:t>63</w:t>
        </w:r>
        <w:r>
          <w:fldChar w:fldCharType="end"/>
        </w:r>
      </w:hyperlink>
    </w:p>
    <w:p>
      <w:pPr>
        <w:pStyle w:val="TOC4"/>
        <w:tabs>
          <w:tab w:val="right" w:leader="dot" w:pos="10240"/>
        </w:tabs>
        <w:rPr>
          <w:rFonts w:ascii="Calibri" w:hAnsi="Calibri"/>
          <w:noProof/>
          <w:sz w:val="22"/>
        </w:rPr>
      </w:pPr>
      <w:hyperlink w:anchor="_Toc256000115" w:history="1">
        <w:r w:rsidR="00A77B3E">
          <w:rPr>
            <w:rStyle w:val="Hyperlink"/>
            <w:rFonts w:ascii="TimesNewRoman" w:eastAsia="TimesNewRoman" w:hAnsi="TimesNewRoman" w:cs="TimesNewRoman"/>
          </w:rPr>
          <w:t>1. Vir podatkov, uporabljenih za izračun standardnih stroškov na enoto, pavšalnih zneskov ali pavšalnih stopenj (kdo je predložil, zbral in evidentiral podatke; kje so podatki shranjeni; presečni datumi; potrjevanje itd.)</w:t>
        </w:r>
        <w:r>
          <w:tab/>
        </w:r>
        <w:r>
          <w:fldChar w:fldCharType="begin"/>
        </w:r>
        <w:r>
          <w:instrText xml:space="preserve"> PAGEREF _Toc256000115 \h </w:instrText>
        </w:r>
        <w:r>
          <w:fldChar w:fldCharType="separate"/>
        </w:r>
        <w:r>
          <w:t>63</w:t>
        </w:r>
        <w:r>
          <w:fldChar w:fldCharType="end"/>
        </w:r>
      </w:hyperlink>
    </w:p>
    <w:p>
      <w:pPr>
        <w:pStyle w:val="TOC4"/>
        <w:tabs>
          <w:tab w:val="right" w:leader="dot" w:pos="10240"/>
        </w:tabs>
        <w:rPr>
          <w:rFonts w:ascii="Calibri" w:hAnsi="Calibri"/>
          <w:noProof/>
          <w:sz w:val="22"/>
        </w:rPr>
      </w:pPr>
      <w:hyperlink w:anchor="_Toc256000116" w:history="1">
        <w:r w:rsidR="00A77B3E">
          <w:rPr>
            <w:rStyle w:val="Hyperlink"/>
          </w:rPr>
          <w:t>2. Navedite, zakaj sta predlagana metoda in izračun na podlagi člena 94(2) uredbe o skupnih določbah relevantna za vrsto operacije.</w:t>
        </w:r>
        <w:r>
          <w:tab/>
        </w:r>
        <w:r>
          <w:fldChar w:fldCharType="begin"/>
        </w:r>
        <w:r>
          <w:instrText xml:space="preserve"> PAGEREF _Toc256000116 \h </w:instrText>
        </w:r>
        <w:r>
          <w:fldChar w:fldCharType="separate"/>
        </w:r>
        <w:r>
          <w:t>64</w:t>
        </w:r>
        <w:r>
          <w:fldChar w:fldCharType="end"/>
        </w:r>
      </w:hyperlink>
    </w:p>
    <w:p>
      <w:pPr>
        <w:pStyle w:val="TOC4"/>
        <w:tabs>
          <w:tab w:val="right" w:leader="dot" w:pos="10240"/>
        </w:tabs>
        <w:rPr>
          <w:rFonts w:ascii="Calibri" w:hAnsi="Calibri"/>
          <w:noProof/>
          <w:sz w:val="22"/>
        </w:rPr>
      </w:pPr>
      <w:hyperlink w:anchor="_Toc256000117" w:history="1">
        <w:r w:rsidR="00A77B3E">
          <w:rPr>
            <w:rStyle w:val="Hyperlink"/>
          </w:rPr>
          <w:t>3. Navedite, kako so bili izračuni narejeni, vključno zlasti s predpostavkami v smislu kakovosti ali količin. Če je to relevantno, je treba uporabiti in na zahtevo predložiti statistične dokaze in referenčne vrednosti v obliki, ki jo lahko uporabi Evropska komisija.</w:t>
        </w:r>
        <w:r>
          <w:tab/>
        </w:r>
        <w:r>
          <w:fldChar w:fldCharType="begin"/>
        </w:r>
        <w:r>
          <w:instrText xml:space="preserve"> PAGEREF _Toc256000117 \h </w:instrText>
        </w:r>
        <w:r>
          <w:fldChar w:fldCharType="separate"/>
        </w:r>
        <w:r>
          <w:t>65</w:t>
        </w:r>
        <w:r>
          <w:fldChar w:fldCharType="end"/>
        </w:r>
      </w:hyperlink>
    </w:p>
    <w:p>
      <w:pPr>
        <w:pStyle w:val="TOC4"/>
        <w:tabs>
          <w:tab w:val="right" w:leader="dot" w:pos="10240"/>
        </w:tabs>
        <w:rPr>
          <w:rFonts w:ascii="Calibri" w:hAnsi="Calibri"/>
          <w:noProof/>
          <w:sz w:val="22"/>
        </w:rPr>
      </w:pPr>
      <w:hyperlink w:anchor="_Toc256000118" w:history="1">
        <w:r w:rsidR="00A77B3E">
          <w:rPr>
            <w:rStyle w:val="Hyperlink"/>
          </w:rPr>
          <w:t>4. Pojasnite, kako ste zagotovili, da so bili v izračun standardnih stroškov na enoto, pavšalnega zneska ali pavšalne stopnje vključeni le upravičeni izdatki.</w:t>
        </w:r>
        <w:r>
          <w:tab/>
        </w:r>
        <w:r>
          <w:fldChar w:fldCharType="begin"/>
        </w:r>
        <w:r>
          <w:instrText xml:space="preserve"> PAGEREF _Toc256000118 \h </w:instrText>
        </w:r>
        <w:r>
          <w:fldChar w:fldCharType="separate"/>
        </w:r>
        <w:r>
          <w:t>66</w:t>
        </w:r>
        <w:r>
          <w:fldChar w:fldCharType="end"/>
        </w:r>
      </w:hyperlink>
    </w:p>
    <w:p>
      <w:pPr>
        <w:pStyle w:val="TOC4"/>
        <w:tabs>
          <w:tab w:val="right" w:leader="dot" w:pos="10240"/>
        </w:tabs>
        <w:rPr>
          <w:rFonts w:ascii="Calibri" w:hAnsi="Calibri"/>
          <w:noProof/>
          <w:sz w:val="22"/>
        </w:rPr>
      </w:pPr>
      <w:hyperlink w:anchor="_Toc256000119" w:history="1">
        <w:r w:rsidR="00A77B3E">
          <w:rPr>
            <w:rStyle w:val="Hyperlink"/>
          </w:rPr>
          <w:t>5. Ocena revizijskega organa v zvezi z metodologijo za izračun in zneski ter ureditvijo za zagotovitev potrjevanja, kakovosti, zbiranja in shranjevanja podatkov.</w:t>
        </w:r>
        <w:r>
          <w:tab/>
        </w:r>
        <w:r>
          <w:fldChar w:fldCharType="begin"/>
        </w:r>
        <w:r>
          <w:instrText xml:space="preserve"> PAGEREF _Toc256000119 \h </w:instrText>
        </w:r>
        <w:r>
          <w:fldChar w:fldCharType="separate"/>
        </w:r>
        <w:r>
          <w:t>67</w:t>
        </w:r>
        <w:r>
          <w:fldChar w:fldCharType="end"/>
        </w:r>
      </w:hyperlink>
    </w:p>
    <w:p>
      <w:pPr>
        <w:pStyle w:val="TOC1"/>
        <w:tabs>
          <w:tab w:val="right" w:leader="dot" w:pos="10240"/>
        </w:tabs>
        <w:rPr>
          <w:rFonts w:ascii="Calibri" w:hAnsi="Calibri"/>
          <w:noProof/>
          <w:sz w:val="22"/>
        </w:rPr>
      </w:pPr>
      <w:hyperlink w:anchor="_Toc256000120" w:history="1">
        <w:r w:rsidR="00A77B3E">
          <w:rPr>
            <w:rStyle w:val="Hyperlink"/>
            <w:rFonts w:ascii="Times New Roman" w:hAnsi="Times New Roman" w:cs="Times New Roman"/>
          </w:rPr>
          <w:t>Dodatek 2: Prispevek Unije, temelječ na financiranju, ki ni povezano s stroški</w:t>
        </w:r>
        <w:r>
          <w:tab/>
        </w:r>
        <w:r>
          <w:fldChar w:fldCharType="begin"/>
        </w:r>
        <w:r>
          <w:instrText xml:space="preserve"> PAGEREF _Toc256000120 \h </w:instrText>
        </w:r>
        <w:r>
          <w:fldChar w:fldCharType="separate"/>
        </w:r>
        <w:r>
          <w:t>68</w:t>
        </w:r>
        <w:r>
          <w:fldChar w:fldCharType="end"/>
        </w:r>
      </w:hyperlink>
    </w:p>
    <w:p>
      <w:pPr>
        <w:pStyle w:val="TOC2"/>
        <w:tabs>
          <w:tab w:val="right" w:leader="dot" w:pos="10240"/>
        </w:tabs>
        <w:rPr>
          <w:rFonts w:ascii="Calibri" w:hAnsi="Calibri"/>
          <w:noProof/>
          <w:sz w:val="22"/>
        </w:rPr>
      </w:pPr>
      <w:hyperlink w:anchor="_Toc256000121" w:history="1">
        <w:r w:rsidR="00A77B3E">
          <w:rPr>
            <w:rStyle w:val="Hyperlink"/>
            <w:rFonts w:ascii="Times New Roman" w:hAnsi="Times New Roman" w:cs="Times New Roman"/>
          </w:rPr>
          <w:t>A. Povzetek glavnih elementov</w:t>
        </w:r>
        <w:r>
          <w:tab/>
        </w:r>
        <w:r>
          <w:fldChar w:fldCharType="begin"/>
        </w:r>
        <w:r>
          <w:instrText xml:space="preserve"> PAGEREF _Toc256000121 \h </w:instrText>
        </w:r>
        <w:r>
          <w:fldChar w:fldCharType="separate"/>
        </w:r>
        <w:r>
          <w:t>68</w:t>
        </w:r>
        <w:r>
          <w:fldChar w:fldCharType="end"/>
        </w:r>
      </w:hyperlink>
    </w:p>
    <w:p>
      <w:pPr>
        <w:pStyle w:val="TOC2"/>
        <w:tabs>
          <w:tab w:val="right" w:leader="dot" w:pos="10240"/>
        </w:tabs>
        <w:rPr>
          <w:rFonts w:ascii="Calibri" w:hAnsi="Calibri"/>
          <w:noProof/>
          <w:sz w:val="22"/>
        </w:rPr>
      </w:pPr>
      <w:hyperlink w:anchor="_Toc256000122" w:history="1">
        <w:r w:rsidR="00A77B3E">
          <w:rPr>
            <w:rStyle w:val="Hyperlink"/>
            <w:rFonts w:ascii="TimesNewRoman" w:eastAsia="TimesNewRoman" w:hAnsi="TimesNewRoman" w:cs="TimesNewRoman"/>
          </w:rPr>
          <w:t>B. Podrobnosti glede na vrsto operacije</w:t>
        </w:r>
        <w:r>
          <w:tab/>
        </w:r>
        <w:r>
          <w:fldChar w:fldCharType="begin"/>
        </w:r>
        <w:r>
          <w:instrText xml:space="preserve"> PAGEREF _Toc256000122 \h </w:instrText>
        </w:r>
        <w:r>
          <w:fldChar w:fldCharType="separate"/>
        </w:r>
        <w:r>
          <w:t>69</w:t>
        </w:r>
        <w:r>
          <w:fldChar w:fldCharType="end"/>
        </w:r>
      </w:hyperlink>
    </w:p>
    <w:p>
      <w:pPr>
        <w:pStyle w:val="TOC1"/>
        <w:tabs>
          <w:tab w:val="right" w:leader="dot" w:pos="10240"/>
        </w:tabs>
        <w:rPr>
          <w:rFonts w:ascii="Calibri" w:hAnsi="Calibri"/>
          <w:noProof/>
          <w:sz w:val="22"/>
        </w:rPr>
      </w:pPr>
      <w:hyperlink w:anchor="_Toc256000123" w:history="1">
        <w:r w:rsidR="00A77B3E">
          <w:rPr>
            <w:rStyle w:val="Hyperlink"/>
            <w:rFonts w:ascii="TimesNewRoman" w:eastAsia="TimesNewRoman" w:hAnsi="TimesNewRoman" w:cs="TimesNewRoman"/>
          </w:rPr>
          <w:t>Dodatek 3</w:t>
        </w:r>
        <w:r>
          <w:tab/>
        </w:r>
        <w:r>
          <w:fldChar w:fldCharType="begin"/>
        </w:r>
        <w:r>
          <w:instrText xml:space="preserve"> PAGEREF _Toc256000123 \h </w:instrText>
        </w:r>
        <w:r>
          <w:fldChar w:fldCharType="separate"/>
        </w:r>
        <w:r>
          <w:t>70</w:t>
        </w:r>
        <w:r>
          <w:fldChar w:fldCharType="end"/>
        </w:r>
      </w:hyperlink>
    </w:p>
    <w:p>
      <w:pPr>
        <w:pStyle w:val="TOC2"/>
        <w:tabs>
          <w:tab w:val="right" w:leader="dot" w:pos="10240"/>
        </w:tabs>
        <w:rPr>
          <w:rFonts w:ascii="Calibri" w:hAnsi="Calibri"/>
          <w:noProof/>
          <w:sz w:val="22"/>
        </w:rPr>
      </w:pPr>
      <w:hyperlink w:anchor="_Toc256000124" w:history="1">
        <w:r w:rsidR="00A77B3E">
          <w:rPr>
            <w:rStyle w:val="Hyperlink"/>
            <w:rFonts w:ascii="TimesNewRoman" w:eastAsia="TimesNewRoman" w:hAnsi="TimesNewRoman" w:cs="TimesNewRoman"/>
          </w:rPr>
          <w:t>Tematski instrument (člen 11 uredbe o AMIF, člen 8 uredbe o IUMV, člen 8 uredbe o SNV)</w:t>
        </w:r>
        <w:r>
          <w:tab/>
        </w:r>
        <w:r>
          <w:fldChar w:fldCharType="begin"/>
        </w:r>
        <w:r>
          <w:instrText xml:space="preserve"> PAGEREF _Toc256000124 \h </w:instrText>
        </w:r>
        <w:r>
          <w:fldChar w:fldCharType="separate"/>
        </w:r>
        <w:r>
          <w:t>70</w:t>
        </w:r>
        <w:r>
          <w:fldChar w:fldCharType="end"/>
        </w:r>
      </w:hyperlink>
    </w:p>
    <w:p>
      <w:pPr>
        <w:pStyle w:val="TOC1"/>
        <w:tabs>
          <w:tab w:val="right" w:leader="dot" w:pos="10240"/>
        </w:tabs>
        <w:rPr>
          <w:rFonts w:ascii="Calibri" w:hAnsi="Calibri"/>
          <w:noProof/>
          <w:sz w:val="22"/>
        </w:rPr>
      </w:pPr>
      <w:hyperlink w:anchor="_Toc256000125" w:history="1">
        <w:r w:rsidR="00A77B3E">
          <w:rPr>
            <w:rStyle w:val="Hyperlink"/>
            <w:rFonts w:ascii="TimesNewRoman" w:eastAsia="TimesNewRoman" w:hAnsi="TimesNewRoman" w:cs="TimesNewRoman"/>
          </w:rPr>
          <w:t>DOKUMENTI</w:t>
        </w:r>
        <w:r>
          <w:tab/>
        </w:r>
        <w:r>
          <w:fldChar w:fldCharType="begin"/>
        </w:r>
        <w:r>
          <w:instrText xml:space="preserve"> PAGEREF _Toc256000125 \h </w:instrText>
        </w:r>
        <w:r>
          <w:fldChar w:fldCharType="separate"/>
        </w:r>
        <w:r>
          <w:t>73</w:t>
        </w:r>
        <w:r>
          <w:fldChar w:fldCharType="end"/>
        </w:r>
      </w:hyperlink>
    </w:p>
    <w:p w:rsidR="00A77B3E">
      <w:pPr>
        <w:pStyle w:val="Heading1"/>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vanish w:val="0"/>
          <w:color w:val="000000"/>
          <w:sz w:val="24"/>
        </w:rPr>
        <w:fldChar w:fldCharType="end"/>
      </w:r>
      <w:r>
        <w:rPr>
          <w:rFonts w:ascii="Times New Roman" w:eastAsia="Times New Roman" w:hAnsi="Times New Roman" w:cs="Times New Roman"/>
          <w:b w:val="0"/>
          <w:vanish w:val="0"/>
          <w:color w:val="000000"/>
          <w:sz w:val="24"/>
        </w:rPr>
        <w:br w:type="page"/>
      </w:r>
      <w:bookmarkStart w:id="0" w:name="_Toc256000063"/>
      <w:r>
        <w:rPr>
          <w:rFonts w:ascii="Times New Roman" w:eastAsia="Times New Roman" w:hAnsi="Times New Roman" w:cs="Times New Roman"/>
          <w:b w:val="0"/>
          <w:i w:val="0"/>
          <w:vanish w:val="0"/>
          <w:color w:val="000000"/>
          <w:sz w:val="24"/>
        </w:rPr>
        <w:t>1. Strategija programa: glavni izzivi in odzivi politik</w:t>
      </w:r>
      <w:bookmarkEnd w:id="0"/>
    </w:p>
    <w:p w:rsidR="00A77B3E">
      <w:pPr>
        <w:jc w:val="left"/>
        <w:rPr>
          <w:rFonts w:ascii="Times New Roman" w:eastAsia="Times New Roman" w:hAnsi="Times New Roman" w:cs="Times New Roman"/>
          <w:b w:val="0"/>
          <w:i w:val="0"/>
          <w:vanish w:val="0"/>
          <w:color w:val="000000"/>
          <w:sz w:val="16"/>
        </w:rPr>
      </w:pPr>
      <w:r>
        <w:rPr>
          <w:rFonts w:ascii="Times New Roman" w:eastAsia="Times New Roman" w:hAnsi="Times New Roman" w:cs="Times New Roman"/>
          <w:b w:val="0"/>
          <w:i w:val="0"/>
          <w:vanish w:val="0"/>
          <w:color w:val="000000"/>
          <w:sz w:val="24"/>
        </w:rPr>
        <w:t>Sklic: člen 22(3)(a)(iii), (iv), (v) in (ix) Uredbe (EU) 2021/1060 (uredba o skupnih določbah)</w:t>
      </w:r>
    </w:p>
    <w:p w:rsidR="00A77B3E">
      <w:pPr>
        <w:jc w:val="left"/>
        <w:rPr>
          <w:rFonts w:ascii="Times New Roman" w:eastAsia="Times New Roman" w:hAnsi="Times New Roman" w:cs="Times New Roman"/>
          <w:b w:val="0"/>
          <w:i w:val="0"/>
          <w:vanish w:val="0"/>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0240"/>
      </w:tblGrid>
      <w:tr>
        <w:tblPrEx>
          <w:tblW w:w="5000" w:type="pct"/>
          <w:tblLayout w:type="fixed"/>
        </w:tblPrEx>
        <w:trPr>
          <w:trHeight w:val="240"/>
          <w:tblHeader w:val="0"/>
        </w:trPr>
        <w:tc>
          <w:tcPr>
            <w:tcW w:w="5000" w:type="pct"/>
            <w:tcBorders>
              <w:top w:val="single" w:sz="4" w:space="0" w:color="auto"/>
              <w:left w:val="single" w:sz="4" w:space="0" w:color="auto"/>
              <w:bottom w:val="single" w:sz="4" w:space="0" w:color="auto"/>
              <w:right w:val="single" w:sz="4" w:space="0" w:color="auto"/>
            </w:tcBorders>
            <w:tcMar>
              <w:left w:w="100" w:type="dxa"/>
              <w:right w:w="100" w:type="dxa"/>
            </w:tcMar>
            <w:vAlign w:val="top"/>
          </w:tcPr>
          <w:p w:rsidR="00A77B3E">
            <w:pPr>
              <w:jc w:val="left"/>
              <w:rPr>
                <w:rFonts w:ascii="Times New Roman" w:eastAsia="Times New Roman" w:hAnsi="Times New Roman" w:cs="Times New Roman"/>
                <w:b w:val="0"/>
                <w:i w:val="0"/>
                <w:vanish w:val="0"/>
                <w:color w:val="000000"/>
                <w:sz w:val="0"/>
              </w:rPr>
            </w:pPr>
          </w:p>
          <w:p w:rsidR="00A77B3E">
            <w:pPr>
              <w:jc w:val="left"/>
              <w:rPr>
                <w:rFonts w:ascii="Times New Roman" w:eastAsia="Times New Roman" w:hAnsi="Times New Roman" w:cs="Times New Roman"/>
                <w:b w:val="0"/>
                <w:i w:val="0"/>
                <w:vanish w:val="0"/>
                <w:color w:val="000000"/>
                <w:sz w:val="24"/>
              </w:rPr>
            </w:pPr>
            <w:r>
              <w:rPr>
                <w:rStyle w:val="Strong"/>
                <w:rFonts w:ascii="Times New Roman" w:eastAsia="Times New Roman" w:hAnsi="Times New Roman" w:cs="Times New Roman"/>
                <w:b w:val="0"/>
                <w:i w:val="0"/>
                <w:vanish w:val="0"/>
                <w:color w:val="000000"/>
                <w:sz w:val="24"/>
              </w:rPr>
              <w:t>SO1</w:t>
            </w:r>
            <w:r>
              <w:rPr>
                <w:rFonts w:ascii="Times New Roman" w:eastAsia="Times New Roman" w:hAnsi="Times New Roman" w:cs="Times New Roman"/>
                <w:b w:val="0"/>
                <w:i w:val="0"/>
                <w:vanish w:val="0"/>
                <w:color w:val="000000"/>
                <w:sz w:val="24"/>
              </w:rPr>
              <w:t>: Slovenija (SI) na področju azilne politike upošteva zakonodajo EU in omogoča vsem državljanom tretjih držav (DTD), ki potrebujejo mednarodno zaščito, ustrezen status in zagotavljanje spoštovanja načela nevračanja, v okviru skupnega evropskega azilnega sistema. Zakon o mednarodni zaščiti (ZMZ-1A, nadalje ZMZ) celovito ureja področje mednarodne zaščite in v slovenski pravni red prenaša pravo EU - Direktive 2013/32/EU, 3012/33/EU in Uredbe EU 604/2013 ter upošteva izboljšave vezane na povečanje vloženih prošenj za mednarodno zaščito in čedalje bolj obremenjen sistem mednarodne zaščite. Cilj je zagotoviti hitre in učinkovite postopke mednarodne zaščite. Zadnje spremembe v letu 2021 uvajajo spremembe glede sodnega varstva, dodatno možnost pritožbe na Vrhovno sodišče RS, spremembe glede omejitve gibanja in s tem povezano definicijo okoliščin nevarnosti pobega. Zaradi čedalje večjega števila prosilcev za mednarodno zaščito, so bile izvedene spremembe na področju sprejemnih pogojev. Nadaljnji cilj je bil uvesti zakonodajne rešitve, ki bi spodbujale osebe z mednarodno zaščito k obiskovanju tečajev slovenskega jezika, spoznavanja slovenske družbe in drugih izobraževalnih programov in programov pomoči za vključevanje. Nova zakonodaja je vplivala tudi na operacije sofinancirane iz AMIF (npr. operacija svetovalcev za begunce se je razširila na vse faze azilnega procesa).</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 zadnjih letih se je v Republiki Sloveniji (RS) povečalo število nezakonitih prehodov meje in s tem tudi število prošenj za mednarodno zaščito.</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 letu 2023 je bilo zabeleženih 60.587 nezakonitih prehodov meje, od tega 58.193 na meji z Republiko Hrvaško. Število nezakonitih vstopov na meji z Republiko Hrvaško je bilo za 84,1 % višje od števila nezakonitih vstopov na zunanji schengenski meji (31.605). Uradno je bilo vloženih skupno 7.271 prošenj za mednarodno zaščito, kar pomeni, da je 80 % oseb, ki so izrazile namero, da zaprosijo za mednarodno zaščito, zapustilo RS, preden so uradno vložile prošnjo. Kljub splošnemu povečanju števila prošenj za mednarodno zaščito, se je število prošenj mladoletnikov brez spremstva v letu 2023 v primerjavi z letom 2022 zmanjšalo za 81 %, vendar se je število obravnavanih mladoletnikov brez spremstva v letu 2024 ponovno povečalo. V letu 2023 se je nadaljeval trend nepooblaščenih odhodov iz Republike Slovenije, kar je povzročilo zaključek 34 % postopkov. V primerjavi z letom 2022 se je število vsebinskih odločb povečalo za 15 %, vendar so te skupaj predstavljale le 4,2 % vseh rešenih primerov. Kljub povečanju števila prošenj za mednarodno zaščito se je čas, potreben za sprejetje vsebinske odločbe, skrajšal in je v letu 2023 v povprečju znašal 115 dni (148 dni v letu 2022 in 210 dni v letu 2021). Povprečno trajanje vseh postopkov v letu 2023 je bilo 45 dni, kar je nekoliko več kot 40 dni, zabeleženih v letu 2022.</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 letu 2024 je bilo obravnavanih 46.192 primerov nedovoljenega vstopa v RS, kar je 24 % manj kot v preteklem letu. Skupaj je bilo izraženih 44.383 namer za zaprositev za mednarodno zaščito. Število izraženih namer predstavlja 96 % vseh nedovoljenih vstopov v državo. Uradno je 5.634 od tistih, ki so izrazili namero, vložilo prošnjo, kar je nekoliko več kot 12 %. Do konca leta 2024 se je trend nezakonitih migracij upočasnil, zaradi sprememb v Siriji konec leta 2024. V letu 2025 se je število sirskih državljanov zato v celotni EU močno zmanjšalo (na 7 %).</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 prvih mesecih leta 2025 je bilo na vseh notranjih mejah zabeleženih skupno 5.780 nedovoljenih vstopov. To je 57 % manj, kot v enakem obdobju lani, ko je bilo zabeleženih 13.573 nedovoljenih vstopov, vendar več kot v enakih obdobjih v letih 2021 in 2022. Število sirskih državljanov se je močno zmanjšalo, prevladujejo pa državljani Afganistana, Bangladeša, Maroka in Egipta. Večina nedovoljenih vstopov je bila zabeležena na notranji meji s Hrvaško, in sicer 85,4 %. Večina tujcev je takoj po nedovoljenem vstopu izrazila namero, da zaprosi za mednarodno zaščito. Tako je bilo v prvih štirih mesecih leta 2025 zabeleženih skupno 4861 namer za zaprositev za mednarodno zaščito. To število je za več kot 60 % nižje kot v primerljivem obdobju leta 2024.</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Aktivnosti v okviru finančne sheme 2014-2020 so se osredotočale predvsem na izboljšanje razmer in postopkov za sprejem: izboljšanje in povečanje sprejemnih kapacitet, izboljšanje kakovosti in standardov nastanitve, lažji dostop do informacij, spodbude za udeležbo prosilcev za mednarodno zaščito v postopkih za pridobitev mednarodne zaščite (osebni razgovor), jezikovno pomoč, psihološko oskrbo, usposabljanje osebja na podlagi učnega načrta Evropskega azilnega podpornega urada, pravno pomoč, izboljšanje postopkov sprejemanja odločitev o kakovosti in zmanjševanju števila napak, postopkovna jamstva in izboljšane življenjske pogoje prosilcev. Bistvene izboljšave so bile dosežene pri postopkih za pridobitev statusa, skrajšani so bili postopki na prvi stopnji, kot tudi na drugi in tretji stopnji.</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 finančni shemi 2021-2027 bomo nadaljevali z zgoraj omenjenimi aktivnostmi kot dobro prakso. Usmerili se bomo tudi v izvedbo izboljšav obstoječega azilnega sistema ter implementirali ustrezne mehanizme EUAA (The European Union Agency for Asylum) s področja kakovosti sprejemanja odločitev v nepredvidljivih razmerah. Poleg tega bo usmeritev v vlaganja v učinkovito delovanje obstoječe ureditve, zaradi nepredvidljivih migracijskih razmer.</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Zagotavljanje hitrih in učinkovitih postopkov za ugotavljanje upravičenosti do mednarodne zaščite je stalna naloga SI, ki se kot država članica EU zavzema za vzpostavitev skupne evropske azilne politike in skupnega evropskega azilnega sistema ter za delitev bremena in solidarnost med državami članicami EU pri sprejemanju beguncev. Da bi ohranili verodostojnost in učinkovitost mednarodne zaščite, je bistveno, da se na nacionalni ravni uvedejo postopki, ki ob upoštevanju temeljnih postopkovnih jamstev omogočajo, da se čim prej po vstopu osebe na ozemlje EU ugotovi, ali ta oseba dejansko prosi za zaščito ali pa ni upravičena do nje. Ti postopki morajo biti hitri in učinkoviti, da se tisti, ki so upravičeni do mednarodne zaščite, čim prej vključijo v družbo, in da se hkrati zagotovi učinkovita vrnitev tistih, ki niso upravičeni do mednarodne zaščite, ob spoštovanju človekovih pravic in ob upoštevanju postopkovnih zaščitnih ukrepov.</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 skladu z veljavno zakonodajo prosilci za mednarodno zaščito že uživajo visoko raven jamstev in podpore pri uveljavljanju svojih pravic. Kljub temu SI priznava nekatere vrzeli, zlasti na praktični ravni, ki jim bo v prihodnje posvetila večjo pozornost. Na zakonodajni ravni bo v skladu z zahtevami Pakta o migracijah in azilu (v nadaljnjem besedilu: Pakt) uvedla sistem pravnega svetovanja in pomoči v postopkih mednarodne zaščite v prvi stopnji. Čeprav je ta sistem v postopkih sodne zaščite dobro uveljavljen, so na praktični ravni še vedno mogoče izboljšave. Kar zadeva pridržanje, obstaja visoka raven postopkovnih zaščitnih ukrepov in sodne zaščite. Prosilci so pridržani ločeno od drugih državljanov tretjih držav, kjer so jim zagotovljene vse pravice do sprejema. Mladoletniki brez spremstva niso pridržani, pri ranljivih prosilcih pa se upoštevajo njihove posebne potrebe.</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 prihodnjih letih bo za SI ključnega pomena, da poveča učinkovitost postopkov za določitev države članice, pristojne za obravnavo prošnje, zlasti s povečanjem dejanskega števila premestitev v druge države članice. V ta namen ukrepi za izvajanje dejavnosti Pakta vključujejo izboljšanje sistema sprejema, zagotavljanje poštenih in učinkovitih postopkov, vzpostavitev dobro delujočih mejnih postopkov, zagotavljanje dobro delujočega dublinskega sistema, zagotavljanje ustreznih zaščitnih ukrepov (vključno s podporo neodvisnega mehanizma za spremljanje). Vključujejo tudi ukrepe za hitro vključevanje v družbo za prosilce za mednarodno zaščito ter vzpostavitev posebne kapacitete in obravnave za najbolj ranljive posameznike.</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Po začetku veljavnosti Pakta bo treba prilagoditi delovne metode in vzpostaviti sinergije med postopki za preverjanje, mednarodno zaščito, sprejem in vračanje na zakonodajni in praktični ravni z vzpostavitvijo ustreznega organizacijskega in informacijskega okolja ter zagotovitvijo ustrezne infrastrukture in usposobljenih človeških virov. Prednostna naloga je zagotoviti ustrezne ukrepe za preprečevanje sekundarnih premikov, vključno z zadržanjem in uporabo alternativ zadržanju.</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Glede izvajanja postopkov mednarodne zaščite in vračanja je strateški cilj SI za prihodnje obdobje urediti povezave in pristojnosti med postopki preverjanja in mejnimi postopki za mednarodno zaščito in vračanje ter uveljavljanje pravic in obveznosti zadevnih oseb v skladu z zakonodajo Evropske unije, vključno s postopki ocenjevanja ranljivosti, zdravstvenimi pregledi in mehanizmi za preprečevanje samovoljnih odhodov ter alternativami pridržanju. V ta namen je treba vzpostaviti standardne operativne postopke, da se na usklajen in celosten način povežejo postopki preverjanja, mednarodne zaščite in vračanja ter zagotovi takojšnja izmenjava podatkov in informacij med pristojnimi organi s pomočjo informacijskih orodij. Hkrati je treba vzpostaviti kadrovske in nastanitvene zmogljivosti za postopek preverjanja in mednarodne zaščite na meji ter zagotoviti zadostne zmogljivosti.</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 okviru novih obveznosti, ki izhajajo iz Pakta, namerava SI ustanoviti in kadrovsko opremiti novo notranjo organizacijsko enoto znotraj MNZ, ki bo izključno odgovorna za te postopke in izvajanje premestitev. Za uspešno uresničevanje zastavljenih ciljev bo ključnega pomena zaposlovanje dodatnih sodelavcev. Glede na povečano število zaposlenih bo treba zagotoviti ustrezne in ustrezno opremljene delovne prostore, ki bodo omogočali nemoteno delo. Zato bomo poleg plač del razpoložljivih finančnih sredstev namenili za kritje najemnine pisarniških prostorov in s tem povezanih stroškov poslovanja.</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Hkrati se načrtuje razvoj ustreznih standardnih operativnih postopkov, usposabljanje človeških virov ter prilagajanje in razvoj novih informacijskih orodij. Da bi povečali učinkovitost premestitev v državo članico, ki je za to pristojna, bo SI vključila vse razpoložljive mehanizme za preprečevanje bega, ki so predvideni v novi zakonodaji (alternative pridržanju, pridržanje, prilagojene sprejemne zmogljivosti), in zagotovila ustrezne in zadostne človeške vire za njihovo izvajanje.</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Vlada RS ima pripravljen načrt zagotovitve nastanitve in oskrbe v primeru povečanja števila prosilcev za mednarodno zaščito ter izvajanja postopkov mednarodne zaščite, ki je pripravljen z načrtovanimi aktivnostmi v primeru nenadnega ali postopnega povečanja števila prosilcev za mednarodno zaščito. Dogovorjeni so scenariji in cilji, opredeljeni potrebni ukrepi in organi ter vzpostavljeni sistemi možnega odzivanja, njegova aktivacija poteka v več fazah glede na število prosilcev. Za izvajanje Pakta je predviden najem kapacitete za namestitev in oskrbo prosilcev za mednarodno zaščito.</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Glede na razmere v Ukrajini in povečan pritok beguncev je SI aktivirala Zakon o začasni zaščiti razseljenih oseb, ki jim omogoča pridobitev statusa začasne zaščite. Gre za hiter in poenostavljen postopek in podoben obseg pravic, kot jih imajo osebe z mednarodno zaščito.</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Pomoč AMIF bo dodatno okrepila izvajanje azilnih postopkov v SI. Skupaj z ustreznimi uredbami in direktivami EU, ki sestavljajo Pakt, bo sprejetje novega zakona omogočilo izvajanje v praksi. Postopki bodo učinkovitejši (prosilci bodo imeli zagotovljeno sodno varstvo, okrepila se bo pravna pomoč za prosilce za mednarodno zaščito ter okrepilo prevajanje in tolmačenje, saj zaznavamo potrebe po prevajanju in tolmačenju iz številnih jezikov, ki jih prej nismo potrebovali, kar je seveda odvisno od trenutnih migracijskih tokov). Prav tako bodo ranljive skupine, vključno z mladoletniki brez spremstva, imeli boljše sprejemne pogoje, kar določa sprejeta zakonodaja.</w:t>
            </w:r>
          </w:p>
          <w:p w:rsidR="00A77B3E">
            <w:pPr>
              <w:jc w:val="left"/>
              <w:rPr>
                <w:rFonts w:ascii="Times New Roman" w:eastAsia="Times New Roman" w:hAnsi="Times New Roman" w:cs="Times New Roman"/>
                <w:b w:val="0"/>
                <w:i w:val="0"/>
                <w:vanish w:val="0"/>
                <w:color w:val="000000"/>
                <w:sz w:val="24"/>
              </w:rPr>
            </w:pPr>
            <w:r>
              <w:rPr>
                <w:rStyle w:val="Strong"/>
                <w:rFonts w:ascii="Times New Roman" w:eastAsia="Times New Roman" w:hAnsi="Times New Roman" w:cs="Times New Roman"/>
                <w:b w:val="0"/>
                <w:i w:val="0"/>
                <w:vanish w:val="0"/>
                <w:color w:val="000000"/>
                <w:sz w:val="24"/>
              </w:rPr>
              <w:t>SO2</w:t>
            </w:r>
            <w:r>
              <w:rPr>
                <w:rFonts w:ascii="Times New Roman" w:eastAsia="Times New Roman" w:hAnsi="Times New Roman" w:cs="Times New Roman"/>
                <w:b w:val="0"/>
                <w:i w:val="0"/>
                <w:vanish w:val="0"/>
                <w:color w:val="000000"/>
                <w:sz w:val="24"/>
              </w:rPr>
              <w:t>: Prebivalstvo SI se je v zadnjih devetnajstih letih s 1.990.094 povečalo na 2.080.908, večino prirastka pripišemo priseljevanju. Leta 2019 je bil selitveni prirast tujih državljanov najvišji po letu 2009, t. j. 16.213 oseb. Ta gibanja se kažejo tudi na področju dovoljenj za stalno ali začasno prebivanje. Na dan 31. december 2019 je imelo 196.470 DTD veljavno dovoljenje za prebivanje ali potrdilo o prijavi prebivanja. Najpogostejši namen prebivanja je zaposlitev (55.371), združitev z družino (15.210) ali študij (3.802). Prihajali so večinoma iz držav bivše Jugoslavije, kar je že zgodovinsko pogojeno in se povečuje tudi zaradi relativno šibkega gospodarskega položaja v regiji, politične nestabilnosti in negotove prihodnosti. V letu 2023 je bilo skupno izdano 102.140 dovoljenj za prebivanje DTD.</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SI področje migracijske politike ureja s Strategijo ekonomskih migracij za obdobje od 2010 do 2020, ki je usmerjena na gospodarske razsežnosti potreb po priseljevanju zaradi demografije, gospodarskih učinkov, povpraševanja na slovenskem trgu dela in konteksta strategije EU o priseljevanju. Integracijska politika se nanaša na ukrepe države in družbe ter zagotavlja ugodne pogoje za kakovost življenja priseljenih, vključno z aktivnim preprečevanjem diskriminacije, ksenofobije in rasizma, spodbuja integracijo in omogoča, da priseljenci postanejo odgovorni udeleženci družbenega razvoja SI. Vlada RS je v letu 2019, predvsem zaradi nezakonitih migracij »balkanske poti« ter zaveze iz koalicijske pogodbe, pripravila in sprejela Strategijo na področju migracij za obdobje od 2019 do 2022, ki poleg ekonomskih migracij in mednarodne zaščite, pokriva tudi področje integracije. Upoštevan bo Akcijski načrt EU za boj proti rasizmu 2020-2025. Večino migracij predstavljajo ekonomske migracije, poleg tega pa velja SI za priseljensko državo, zaradi zaposlitev in združevanja družin, manj zaradi prosilcev za mednarodno zaščito.</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 letu 2024 je Vlada RS sprejela Strategijo na področju priseljevanja, ki vključuje štiri strateške cilje, ki celovito obravnavajo različne vidike priseljevanja. Prvi cilj je osredotočen na zunanje delovanje, usmerjeno v odpravo vzrokov za priseljevanje in obravnavanje posledic podnebnih sprememb. Drugi cilj je usmerjen v spodbujanje zakonitega priseljevanja, zaradi zaposlitve ali dela. Tretji cilj se osredotoča na zaščito življenja in na obravnavo vidikov prisilnih razselitev, predvsem v okviru sistemov mednarodne in začasne zaščite ter različnih zakonitih poti do zaščite. Četrti cilj obravnava morebitni vpliv migracij na notranjo varnost.</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Novembra 2023 je bila sprejeta Strategija vključevanja tujcev, ki niso državljani Evropske unije, v kulturno, gospodarsko in družbeno življenje RS. Strategija ima kot enega od glavnih ciljev jezikovno integracijo tujcev in se odziva na zakonske spremembe glede zahtev o znanju slovenskega jezika DTD.</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Zakon o tujcih, noveliran leta 2021 in 2023, je uvedel pogoj znanja slovenskega jezika na osnovni ravni za osebe, ki bi želele pridobiti dovoljenje za stalno prebivanje. Družinski člani tujcev morajo pri prvem podaljšanju dovoljenja za prebivanje v RS predložiti dokazilo o znanju slovenskega jezika na preživetveni ravni. S spremembami zakona so bili bolj jasno določeni upravičenci do opravljanja prvega brezplačnega preizkusa znanja iz slovenskega jezika. S podzakonskim aktom je bil določen obseg programa učenja slovenskega jezika in spoznavanja slovenske družbe, ki se je glede strategijo povečal. Z zakonskimi spremembami se je povečala motivacija DTD do vključevanja v programe učenja jezika in do opravljanja preizkusov znanja in s tem število udeležencev, ki koristijo te pravice.</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Področje ureja tudi Agenda za trajnostni razvoj 2030, Drugi prostovoljni nacionalni pregled implementacije ciljev trajnostnega razvoja (2020) ter področna zakonodaja (ZMZ in Zakon o tujcih).</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SI že od leta 2008 aktivno izvaja programe vključevanja za DTD (AMIF 07-13). Od leta 2012 dalje se izvajajo programi učenja slovenskega jezika in izobraževanja o slovenski zgodovini, kulturi in ustavnem redu. Vzpostavljena je bila spletna stran www.infotujci.si, ki zagotavlja informacije tujcem pred njihovim prihodom v SI in informacije o vključevanju v slovensko družbo v kar šestih jezikih. V letu 2019 je zabeležila 115.257 obiskov.</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Po SI so se izvajale operacije nevladnih organizacij - Organiziranje središč medkulturnega dialoga, s ciljem ustvarjati ozaveščeno in informirano okolje, ki bo sprejemalo in spodbujalo vključevanje DTD v slovensko družbo in lokalno okolje (vključevanje kot dvosmerni proces). Organizirali so se enomesečni tečaji spoznavanja slovenske družbe (področja izobraževanja, zaposlovanja, nastanitve, seznanjanje s slovensko kulturo, zgodovino in ustavnim redom). Urad Vlade RS za oskrbo in integracijo migrantov (UOIM) zagotavlja nastanitev v dveh integracijskih hišah v Ljubljani in Mariboru z nastanitveno kapaciteto za 60 oseb in devetih najetih stanovanjih z nastanitveno kapaciteto največ 33 oseb (skupna nastanitvena kapaciteta je za 93 oseb; 49 oseb se je na novo nastanilo v letu 2020), ki so namenjene za bivanje oseb z mednarodno zaščito v prvem letu po pridobitvi mednarodne zaščite (osebi se zagotovi bivanje v prvi fazi integracije v slovensko družbo) ali denarno nadomestilo za zasebno nastanitev, če oseba ne biva v integracijski hiši. V letu 2020 je bilo izdanih 559 odločb o upravičenosti do tega nadomestila.</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Na področju zdravstvene oskrbe, socialnega varstva, izobraževanja in usposabljanja so upravičenci enakopravni s slovenskimi državljani, pravico do zaposlitve pa lahko uveljavljajo v skladu s predpisi o zaposlovanju in delu tujcev. Poleg tega je zagotovljena pomoč osebam v okviru mednarodne zaščite glede urejanja življenjskih situacij, psihosocialne pomoči, pomoči pri učenju ter pomoči za izboljšanje zaposlitvenih možnosti itd.</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 finančni shemi 2021-2027 bomo nadaljevali z zgoraj omenjenimi aktivnostmi kot dobro prakso. Ključni izzivi in potrebe na področju vključevanja/zakonitega priseljevanja so stalno delovanje informacijske točke (www.infotujci.si) za DTD, osnovna pomoč pri vključevanju DTD, posebni programi za osebe z mednarodno zaščito in zadostne zmožnosti za izvajanje ukrepov vključevanja.</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Ukrepi za izvajanje aktivnosti Pakta o migracijah in azilu vključujejo okrepitev podpore za zgodnjo integracijo prosilcev za mednarodno zaščito in vzpostavitev dodatnih integracijskih kapacitet in podporo nastanjenim osebam z mednarodno zaščito.</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Pomen jezikovnih tečajev je ključen, zato bo za te usmerjen velik delež sredstev te finančne sheme. V operacije vključevanja bodo vključene tudi osebe s statusom začasne zaščite po Zakonu o začasni zaščiti razseljenih oseb. Poleg tega se bo izvajal še program spoznavanja slovenske družbe in kulture, vzpostavitev koordinativnih teles na lokalni ravni z namenom prepoznavanja težav pri integraciji, iskanja ustreznih rešitev in priprave dodatnih integracijskih dejavnosti, uvajanje inovativnih shem za vključevanje migrantov s poudarkom na pozitivnih praksah in lokalni ravni, usposabljanje zasebnih in javnih uslužbencev z namenom pridobivanja medkulturnih kompetenc, posebnih znanj in supervizije za strokovne delavce, usposabljanje v okviru tima predstavnikov kompetentnih služb in ustanov na lokalnem nivoju.</w:t>
            </w:r>
          </w:p>
          <w:p w:rsidR="00A77B3E">
            <w:pPr>
              <w:jc w:val="left"/>
              <w:rPr>
                <w:rFonts w:ascii="Times New Roman" w:eastAsia="Times New Roman" w:hAnsi="Times New Roman" w:cs="Times New Roman"/>
                <w:b w:val="0"/>
                <w:i w:val="0"/>
                <w:vanish w:val="0"/>
                <w:color w:val="000000"/>
                <w:sz w:val="24"/>
              </w:rPr>
            </w:pPr>
            <w:r>
              <w:rPr>
                <w:rStyle w:val="Strong"/>
                <w:rFonts w:ascii="Times New Roman" w:eastAsia="Times New Roman" w:hAnsi="Times New Roman" w:cs="Times New Roman"/>
                <w:b w:val="0"/>
                <w:i w:val="0"/>
                <w:vanish w:val="0"/>
                <w:color w:val="000000"/>
                <w:sz w:val="24"/>
              </w:rPr>
              <w:t>SO3</w:t>
            </w:r>
            <w:r>
              <w:rPr>
                <w:rFonts w:ascii="Times New Roman" w:eastAsia="Times New Roman" w:hAnsi="Times New Roman" w:cs="Times New Roman"/>
                <w:b w:val="0"/>
                <w:i w:val="0"/>
                <w:vanish w:val="0"/>
                <w:color w:val="000000"/>
                <w:sz w:val="24"/>
              </w:rPr>
              <w:t>: SI ima področje vračanja urejeno z Zakonom o tujcih, ki je bil v letu 2021 spremenjen in posodobljen skladno z mednarodnimi direktivami. Poleg tega pa sledimo usmeritvam mednarodnih konvencij.</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 Centru za tujce (CT) kot osrednjem objektu za nastanitev DTD z izdano odločbo o vračanju, je bilo leta 2019 nastanjenih 1.423 DTD, od katerih je bilo 832 tudi odstranjenih iz države. Največ odstranitev je temeljilo na dvostranskih dogovorih s tretjimi državami in državami članicami EU. Najpogostejši razlog za nastanitev v CT je tveganje pobega, kajti SI je tranzitna in ne ciljna država za nezakonite migrante. Drugim tujcem, ki niso nastanjeni v CT, je izdana odločba o prostovoljni vrnitvi, kar je lahko zaradi zgoraj navedenega razloga pogosto neučinkovit ukrep.</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Ukrepi za izvajanje aktivnosti Pakta o migracijah in azilu vključujejo pošteno in učinkovito vračanje državljanov tretjih držav, ki nezakonito prebivajo v državi. Okrepile se bodo strukture za prostovoljno vračanje.</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Zavzemamo se za nadaljnjo analizo možnosti za uporabo alternativ pridržanju, npr. razvoj sistema za redno poročanje pristojnim organom za tiste DTD, katerih identiteta je znana, in ki aktivno sodelujejo pri postopkih identifikacije. V povezavi s tem SI vidi svojo politiko vračanja kot pošteno in učinkovito v odnosu do DTD in drugih držav članic (za preprečevanje pobega). Na strokovnih sestankih na EU ravni se v sodelovanju z nevladnimi in mednarodnimi organizacijami išče najboljše rešitve, je velika pozornost posvečena alternativam pridržanju. SI večinoma ni ciljna država, zato za navedeno trenutno ni zanimanja. Kljub temu bo spremljala najboljše prakse na ravni držav članic EU na tem področju ter implementirala tiste, ki bodo zmanjševale neovirano in nezakonito prehajanje meja. Za potrebe izvajanja Pakta se bodo po novi zakonodaji izvajale alternativne možnosti pridržanja (izvajanje aplikacije za elektronsko spremljanje).</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Nastanitev v CT traja največ dvanajst mesecev. Tujcem v postopku vračanja je ponujena možnost prostovoljne vrnitve, pomoč pri vračanju in vključitev v program ponovnega vključevanja (reintegracije), če slednji obstaja. Pomoč pri vračanju nudi CT (pridobivanje potovalnih dokumentov, organizacija vrnitve, vključitev v evropski reintegracijski program EURP - “European Reintegration Programme”).</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 sistem prostovoljnega vračanja v okviru sklada bo vključeno tudi vračanje prosilcev za mednarodno zaščito, oseb s priznano mednarodno zaščito in vlagateljev namere za podajo prošnje za mednarodno zaščito ter tujcev z zahtevo za uvedbo ponovnega postopka. Leta 2019 je bilo zabeleženih samo 13 primerov aktivnega upiranja odstranitvi, pri katerih je bilo potrebno uporabiti ukrepe prisilnega vračanja ter v 5 primerih je za prostovoljno vrnitev poskrbela Mednarodna organizacija za migracije - IOM. Pri prisilnem vračanju je skladno z zakonom zagotovljeno spremljanje s strani NVO. Zaradi spremenjenih internih pravil IOM se je sodelovanje zaključilo, Policija pa se je priključila k projektu ERRIN - “European Return and Reintegration Network” (kar je izven AMIF; projekt se je zaključil leta 2022), naloge in aktivnosti projekta pa je prevzel Frontex v okviru po-vrnitvenih aktivnosti in jih vodi EURP. V tem aktivno sodeluje tudi SI in bo še naprej izvajala reintegracijske programe skladno z novo prakso.</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SI bo nadaljevala s posodobitvami objektov za pridržanje tujcev, kjer bodo upoštevana veljavna priporočila posameznih institucij, kot so CPT, FRA, ombudsman in seveda dobre prakse drugih držav članic. SI je že na srečanjih ekspertov in tudi nadzornih inštitucij večkrat izpostavila pomanjkanje formalnih standardov na EU ravni, ki bi veljali za objekte namenjene pridržanju kategorij tujcev, skladno z direktivo 2008/115/EC.</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Na mednarodnem področju se soočamo z zahtevnimi izzivi z nekaterimi tretjimi državami pri identifikaciji in ponovnem sprejemu lastnih državljanov. V novem programskem obdobju bomo na nacionalni ravni okrepili sodelovanje s posameznimi tretjimi državami, hkrati pa bomo sodelovali tudi z EU institucijami, njihovimi politikami in projekti na področju krepitve sodelovanja.</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 okviru finančne sheme 2021-2027 se bo torej nadaljevalo z vsemi aktivnostmi iz prejšnje finančne sheme, pričakujemo spremembe na področju EU pravnega reda, ki bo postavil nove smernice pri postopkih vračanja in pridržanja in na novo definiral delovanje in vloge EU agencij (npr. Frontex). Prav tako bomo nadaljevali z vzpostavljeno prakso zagotavljanja informiranja in pravnega varstva tujcem v postopkih vračanja.</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SI se bo usmerila v nadgradnjo in zagotovitev ustreznega vzdrževanja aplikacije RECAMAS (Return Case Management System), ki jo je razvila in pričela uporabljati v letu 2024. Aplikacija trenutno pokriva področje upravljanja pridržanja tujcev, prisilnega in prostovoljnega vračanja ter ugotavljanja identitete in pridobivanja potnih listov za vrnitev. Potrebna je posodobitev obstoječe aplikacije skladno z novimi smernicami idealnega modela RECAMAS in identificiranimi pomanjkljivostmi, ki so posledica sprememb postopkov na področju pridržanja in vračanja tujcev. Nadgradnja za slovensko policijo predstavlja tudi priložnost za avtomatizacijo statistične obdelave podatkov, potrebnih za poročanje, skladno z zahtevami EU, ter zagotavljanje njenega vzdrževanja, s čimer se zagotovi kontinuiteta v prihodnje.</w:t>
            </w:r>
          </w:p>
          <w:p w:rsidR="00A77B3E">
            <w:pPr>
              <w:jc w:val="left"/>
              <w:rPr>
                <w:rFonts w:ascii="Times New Roman" w:eastAsia="Times New Roman" w:hAnsi="Times New Roman" w:cs="Times New Roman"/>
                <w:b w:val="0"/>
                <w:i w:val="0"/>
                <w:vanish w:val="0"/>
                <w:color w:val="000000"/>
                <w:sz w:val="24"/>
              </w:rPr>
            </w:pPr>
            <w:r>
              <w:rPr>
                <w:rStyle w:val="Strong"/>
                <w:rFonts w:ascii="Times New Roman" w:eastAsia="Times New Roman" w:hAnsi="Times New Roman" w:cs="Times New Roman"/>
                <w:b w:val="0"/>
                <w:i w:val="0"/>
                <w:vanish w:val="0"/>
                <w:color w:val="000000"/>
                <w:sz w:val="24"/>
              </w:rPr>
              <w:t>SO4</w:t>
            </w:r>
            <w:r>
              <w:rPr>
                <w:rFonts w:ascii="Times New Roman" w:eastAsia="Times New Roman" w:hAnsi="Times New Roman" w:cs="Times New Roman"/>
                <w:b w:val="0"/>
                <w:i w:val="0"/>
                <w:vanish w:val="0"/>
                <w:color w:val="000000"/>
                <w:sz w:val="24"/>
              </w:rPr>
              <w:t>: Za potrebe preselitve je SI ustvarila zakonodajni okvir, namestitvene in druge kapacitete. Odločitev o sodelovanju v takih operacijah je vladna. Vlada RS na predlog pristojnega ministrstva določi kvoto oseb, ki se jim lahko prizna status begunca ter se določijo naloge posameznih ministrstev, vladnih služb in drugih državnih organov pri nastanitvi in vključevanju oseb. SI bo udeležena glede na izvedbena ukrepa a) in b) iz 4. točke Priloge II.</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 xml:space="preserve">Za izvajanje </w:t>
            </w:r>
            <w:r>
              <w:rPr>
                <w:rStyle w:val="Strong"/>
                <w:rFonts w:ascii="Times New Roman" w:eastAsia="Times New Roman" w:hAnsi="Times New Roman" w:cs="Times New Roman"/>
                <w:b w:val="0"/>
                <w:i w:val="0"/>
                <w:vanish w:val="0"/>
                <w:color w:val="000000"/>
                <w:sz w:val="24"/>
              </w:rPr>
              <w:t>aktivnosti, povezanih z izvajanjem Pakta o migracijah in azilu</w:t>
            </w:r>
            <w:r>
              <w:rPr>
                <w:rFonts w:ascii="Times New Roman" w:eastAsia="Times New Roman" w:hAnsi="Times New Roman" w:cs="Times New Roman"/>
                <w:b w:val="0"/>
                <w:i w:val="0"/>
                <w:vanish w:val="0"/>
                <w:color w:val="000000"/>
                <w:sz w:val="24"/>
              </w:rPr>
              <w:t xml:space="preserve"> je Slovenija prejela dodatna sredstva, prav tako je prejela dodatna sredstva na podlagi </w:t>
            </w:r>
            <w:r>
              <w:rPr>
                <w:rStyle w:val="Strong"/>
                <w:rFonts w:ascii="Times New Roman" w:eastAsia="Times New Roman" w:hAnsi="Times New Roman" w:cs="Times New Roman"/>
                <w:b w:val="0"/>
                <w:i w:val="0"/>
                <w:vanish w:val="0"/>
                <w:color w:val="000000"/>
                <w:sz w:val="24"/>
              </w:rPr>
              <w:t>vmesnega pregleda</w:t>
            </w:r>
            <w:r>
              <w:rPr>
                <w:rFonts w:ascii="Times New Roman" w:eastAsia="Times New Roman" w:hAnsi="Times New Roman" w:cs="Times New Roman"/>
                <w:b w:val="0"/>
                <w:i w:val="0"/>
                <w:vanish w:val="0"/>
                <w:color w:val="000000"/>
                <w:sz w:val="24"/>
              </w:rPr>
              <w:t xml:space="preserve"> v okviru sklada AMIF.</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Dodeljena sredstva bodo uporabljena za obravnavo glavnih prednostnih nalog. V nacionalnem sistemu upravljanja migracij, azila in sprejema so bile identificirane vrzeli, ki so bile s konkretnimi zakonodajnimi in administrativnimi ukrepi naslovljene v nacionalnem izvedbenem načrtu. Prednostne naloge so navedene v okviru posameznih specifičnih ciljev. Te prednostne naloge ne bodo obravnavane le v okviru programa AMIF. Poleg sofinanciranja programa se za delovanje Centra za tujce plače zaposlenih financirajo iz nacionalnih sredstev. Pomembno področje za nadaljnjo podporo ostaja dostop do izobraževanja in storitev trga dela pod enakimi pogoji, kot za državljane SI. Nacionalni proračun bo tudi v prihodnje pokrival potrebe po zdravstvenem varstvu državljanov tretjih držav v azilnih in vračilnih postopkih. Poleg tega nacionalni proračun pokriva plače sodnikov, ki so odgovorni za vodenje različnih sodnih postopkov.</w:t>
            </w:r>
          </w:p>
          <w:p w:rsidR="00A77B3E">
            <w:pPr>
              <w:jc w:val="left"/>
              <w:rPr>
                <w:rFonts w:ascii="Times New Roman" w:eastAsia="Times New Roman" w:hAnsi="Times New Roman" w:cs="Times New Roman"/>
                <w:b w:val="0"/>
                <w:i w:val="0"/>
                <w:vanish w:val="0"/>
                <w:color w:val="000000"/>
                <w:sz w:val="24"/>
              </w:rPr>
            </w:pPr>
            <w:r>
              <w:rPr>
                <w:rStyle w:val="Strong"/>
                <w:rFonts w:ascii="Times New Roman" w:eastAsia="Times New Roman" w:hAnsi="Times New Roman" w:cs="Times New Roman"/>
                <w:b w:val="0"/>
                <w:i w:val="0"/>
                <w:vanish w:val="0"/>
                <w:color w:val="000000"/>
                <w:sz w:val="24"/>
              </w:rPr>
              <w:t>Sistem upravljanja in nadzora</w:t>
            </w:r>
            <w:r>
              <w:rPr>
                <w:rFonts w:ascii="Times New Roman" w:eastAsia="Times New Roman" w:hAnsi="Times New Roman" w:cs="Times New Roman"/>
                <w:b w:val="0"/>
                <w:i w:val="0"/>
                <w:vanish w:val="0"/>
                <w:color w:val="000000"/>
                <w:sz w:val="24"/>
              </w:rPr>
              <w:t>: SI bo ohranila sistem iz pretekle finančne sheme. OU ostaja Ministrstvo za notranje zadeve, Služba za evropska sredstva, Projektna enota za sklade notranje varnosti in migracij, kot tudi revizijski organ (RO) Ministrstvo za finance, Urad za nadzor proračuna ter dve posredniški telesi za prenesene naloge OU. Ministrstvo za finance, Sektor za upravljanje s sredstvi EU/CA za izvajanje finančnih transakcij med EU in državnim proračunom ter, za izvedbo javnih razpisov pa posredniško telo za operacije, ki se izvajajo na podlagi javnih razpisov. Operacije, ki se financirajo iz skladov, izvajajo upravičenci, ki so osebe javnega prava (prejmejo sredstva skladov na podlagi neposredne dodelitve, zaradi posebne narave projekta oz. tehnične ali administrativne pristojnosti) ali organizacije, ki prejmejo sredstva na podlagi javnega razpisa.</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SI bo prejela bistveno več sredstev, kot v prejšnji shemi, zato bodo organi morali vlagati v krepitev kadrovskih zmogljivosti (OU iz 5 na 10, RO iz 2 na 3), poenostavitev stroškov in kontrol (kontrole na vzorcih).</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SI se je skladno z izkušnjami iz finančne sheme 2014-2020 in priporočili EK pri javnih razpisih odločila za uporabo poenostavitve izračuna neposrednih stroškov dela, v skladu s 55. členom CPR. Vezano na poenostavljene stroške na enoto, bomo uporabili stroške na enoto, ki jih bo za DG HOME izračunal Public Policy and Management Institute. SI zaenkrat ne predvideva uporabe finančnih instrumentov ali mešanega financiranja.</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Vrste intervencij z vrednostjo 0 EUR v tabeli 3, so v Program vključene v primeru morebitnih prihodnjih potreb, povezanih z izvajanjem tematskega instrumenta, v skladu s členom 22(4)(d) CPR.</w:t>
            </w:r>
          </w:p>
          <w:p w:rsidR="00A77B3E">
            <w:pPr>
              <w:jc w:val="left"/>
              <w:rPr>
                <w:rFonts w:ascii="Times New Roman" w:eastAsia="Times New Roman" w:hAnsi="Times New Roman" w:cs="Times New Roman"/>
                <w:b w:val="0"/>
                <w:i w:val="0"/>
                <w:vanish w:val="0"/>
                <w:color w:val="000000"/>
                <w:sz w:val="24"/>
              </w:rPr>
            </w:pPr>
          </w:p>
          <w:p w:rsidR="00A77B3E">
            <w:pPr>
              <w:jc w:val="left"/>
              <w:rPr>
                <w:rFonts w:ascii="Times New Roman" w:eastAsia="Times New Roman" w:hAnsi="Times New Roman" w:cs="Times New Roman"/>
                <w:b w:val="0"/>
                <w:i w:val="0"/>
                <w:vanish w:val="0"/>
                <w:color w:val="000000"/>
                <w:sz w:val="24"/>
              </w:rPr>
            </w:pPr>
            <w:r>
              <w:rPr>
                <w:rStyle w:val="Emphasis"/>
                <w:rFonts w:ascii="Times New Roman" w:eastAsia="Times New Roman" w:hAnsi="Times New Roman" w:cs="Times New Roman"/>
                <w:b w:val="0"/>
                <w:i w:val="0"/>
                <w:vanish w:val="0"/>
                <w:color w:val="000000"/>
                <w:sz w:val="24"/>
                <w:u w:val="single"/>
              </w:rPr>
              <w:t>ZARADI OMEJITVE ŠT. ZNAKOV - NADALJEVANJE TOČKE. 6. PARTNERSTVO:</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Prepoznana so naslednja dopolnjevanja in sinergije med:</w:t>
            </w:r>
          </w:p>
          <w:p w:rsidR="00A77B3E">
            <w:pPr>
              <w:numPr>
                <w:ilvl w:val="0"/>
                <w:numId w:val="1"/>
              </w:numPr>
              <w:ind w:left="720" w:hanging="36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AMIF, SNV in IUMV na področju zunanje razsežnosti EU migracijske in varnostne politike z zunanjimi instrumenti, kot sta Neighbourhood, Development and International Cooperation Instrument (NDICI) in Instrument za predpristopno pomoč (IPA)</w:t>
            </w:r>
          </w:p>
          <w:p w:rsidR="00A77B3E">
            <w:pPr>
              <w:numPr>
                <w:ilvl w:val="0"/>
                <w:numId w:val="1"/>
              </w:numPr>
              <w:ind w:left="720" w:hanging="36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AMIF in Erasmus+</w:t>
            </w:r>
          </w:p>
          <w:p w:rsidR="00A77B3E">
            <w:pPr>
              <w:numPr>
                <w:ilvl w:val="0"/>
                <w:numId w:val="1"/>
              </w:numPr>
              <w:ind w:left="720" w:hanging="36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AMIF in ESS+ ter</w:t>
            </w:r>
          </w:p>
          <w:p w:rsidR="00A77B3E">
            <w:pPr>
              <w:numPr>
                <w:ilvl w:val="0"/>
                <w:numId w:val="1"/>
              </w:numPr>
              <w:ind w:left="720" w:hanging="36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SNV in ESRR</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Načrtovane aktivnosti v okviru AMIF, povezane z vključevanjem DTD (migrantov, osebe z mednarodno zaščito, prosilci za mednarodno zaščito) v družbo, so komplementarne z načrtovanimi aktivnostmi v okviru ESS+. Oba sklada naslavljata vključevanje migrantov na trg dela, pri čemer se bomo v okviru AMIF usmerili na osnovno učenje slovenskega jezika, podporo v začetni fazi socialnega vključevanja (svetovanje, nastanitev, denarna pomoč, itd.) in s tem nudili pomoč pri vstopu na trg dela. ESS+ pa nudi pomoč v naslednji fazi, tako, da omogoči vključitev posameznikov v programe Aktivne politike zaposlovanja (predvsem gre za programe usposabljanja za pridobivanje veščin in kompetenc, potrebnih s strani delodajalcev in spodbuda (subvencija) za zaposlitev pri konkretnem delodajalcu). Oba sklada posegata na področje pomoči v obliki medkulturnega mediatorja/svetovalca zaposlitve, a vsak pokriva druge naloge; AMIF se usmerja na pomoč osebam z mednarodno zaščito pri urejanju vsega potrebnega za lažjo integracijo v družbo, ESS+ oz. ukrepi trga dela, ki so sofinancirani iz integralnih sredstev, pa na področje dostopa do delodajalcev in zaposlitve. Prav tako oba sklada izvajata aktivnosti na področju programov socialnega vključevanja in socialne aktivacije, kjer bo pri pripravi vsebin razpisov s tega področja vzpostavljeno sodelovanje s ciljem, da se ukrepi zastavijo čim bolj komplementarno. Vzpostavljeno je sodelovanje, da se doseže popolna izvedba storitev ter ne prihaja do prekrivanja. Prepoznano je pomanjkanje ustrezne podpore mladoletnikom brez spremstva ob prehodu v polnoletnost. Poleg tega je zaznati porast primerov oseb s težavami v duševnem zdravju, posebnimi potrebami in žrtev različnih zlorab. Skladno s tem je potrebno celostno usmerjanje na opolnomočenje in vzpodbujanje oseb k aktivnemu premagovanju težav, travm in soočanju z različnimi osebnimi okoliščinami. AMIF in ESS+ lahko delujeta komplementarno tudi na področju nudenja zdravniške oskrbe migrantom, kjer bodo prav tako vzpostavljene povezave, da se doseže popolna izvedba storitev ter ne prihaja do prekrivanja. Na tak način bo dosežena razbremenitev dela zdravstvenih domov, lažja in kvalitetnejša obravnava migrantov, dostopnost storitev, kontinuirana zdravstvena oskrba v azilnem domu, ki bo dostopna prosilcem, lažje naročanje, pogostejša obravnava, vzpostavitev evidenc obravnave, spremljanje bolezenskega stanja prosilcev za mednarodno zaščito, sprejemanje ukrepov za preprečevanje nalezljivih bolezni, sodelovanje z Nacionalnim inštitutom za javnim zdravjem, domačimi in tujimi strokovnimi službami.</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Razmejitev med programoma AMIF in IUMV je v RS zagotovljena tako, da so vse operacije, ki so vezane na obravnavo in vračanje DTD, ki nelegalno bivajo v Sloveniji, financirane samo iz AMIF. Iz IUMV so financirani predvsem nakupi opreme, vezani na nadzor začasne zunanje meje in vizumske postopke, informacijski sistemi in druge operacije iz tega področja. Oba programa sta bila pripravljena in usklajevana s strani istega OU, ki bo opravljal tudi administrativne kontrole upravičenosti, tako da dvojnega financiranja med programi ne more priti.</w:t>
            </w:r>
          </w:p>
          <w:p w:rsidR="00A77B3E">
            <w:pPr>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Eden izmed ciljev sklada AMIF je vzpostavitev ali izboljšanje sprejemne infrastrukture za migrante, vključno z možnostjo skupne uporabe te infrastrukture s strani več držav članic, saj je zaradi povečanega števila oseb pri sprejemu in nastanitvi izkazana potreba po prilagoditvi obstoječih sprejemnih in nastanitvenih prostorov. Potrebna je zagotovitev ustreznih prostorov za sprejem, oskrbo in nastanitev, kar bi se lahko doseglo s povečanjem in prenovo sprejemnih in nastanitvenih prostorov, sanitarno higienskega trakta in zamenjavo dotrajane opreme. Pri tem je poleg sredstev AMIF možna uporaba tudi sredstev sklada ESRR, če se bo izkazala potreba, pri tem pa bomo s skupnim načrtovanjem operacij kot celote zagotavljali, da ne bo prihajalo do prekrivanj.</w:t>
            </w:r>
          </w:p>
          <w:p w:rsidR="00A77B3E">
            <w:pPr>
              <w:jc w:val="left"/>
              <w:rPr>
                <w:rFonts w:ascii="Times New Roman" w:eastAsia="Times New Roman" w:hAnsi="Times New Roman" w:cs="Times New Roman"/>
                <w:b w:val="0"/>
                <w:i w:val="0"/>
                <w:vanish w:val="0"/>
                <w:color w:val="000000"/>
                <w:sz w:val="6"/>
              </w:rPr>
            </w:pPr>
          </w:p>
          <w:p w:rsidR="00A77B3E">
            <w:pPr>
              <w:jc w:val="left"/>
              <w:rPr>
                <w:rFonts w:ascii="Times New Roman" w:eastAsia="Times New Roman" w:hAnsi="Times New Roman" w:cs="Times New Roman"/>
                <w:b w:val="0"/>
                <w:i w:val="0"/>
                <w:vanish w:val="0"/>
                <w:color w:val="000000"/>
                <w:sz w:val="6"/>
              </w:rPr>
            </w:pPr>
          </w:p>
        </w:tc>
      </w:tr>
    </w:tbl>
    <w:p w:rsidR="00A77B3E">
      <w:pPr>
        <w:jc w:val="left"/>
        <w:rPr>
          <w:rFonts w:ascii="Times New Roman" w:eastAsia="Times New Roman" w:hAnsi="Times New Roman" w:cs="Times New Roman"/>
          <w:b w:val="0"/>
          <w:i w:val="0"/>
          <w:vanish w:val="0"/>
          <w:color w:val="000000"/>
          <w:sz w:val="24"/>
        </w:rPr>
        <w:sectPr>
          <w:headerReference w:type="even" r:id="rId4"/>
          <w:headerReference w:type="default" r:id="rId5"/>
          <w:footerReference w:type="even" r:id="rId6"/>
          <w:footerReference w:type="default" r:id="rId7"/>
          <w:headerReference w:type="first" r:id="rId8"/>
          <w:footerReference w:type="first" r:id="rId9"/>
          <w:pgSz w:w="11906" w:h="16838"/>
          <w:pgMar w:top="720" w:right="936" w:bottom="864" w:left="720" w:header="0" w:footer="72" w:gutter="0"/>
          <w:cols w:space="708"/>
          <w:noEndnote/>
          <w:docGrid w:linePitch="360"/>
        </w:sectPr>
      </w:pPr>
    </w:p>
    <w:p w:rsidR="00A77B3E">
      <w:pPr>
        <w:pStyle w:val="Heading1"/>
        <w:spacing w:before="100" w:after="0"/>
        <w:jc w:val="left"/>
        <w:rPr>
          <w:rFonts w:ascii="Times New Roman" w:eastAsia="Times New Roman" w:hAnsi="Times New Roman" w:cs="Times New Roman"/>
          <w:b w:val="0"/>
          <w:i w:val="0"/>
          <w:vanish w:val="0"/>
          <w:color w:val="000000"/>
          <w:sz w:val="24"/>
        </w:rPr>
      </w:pPr>
      <w:bookmarkStart w:id="1" w:name="_Toc256000064"/>
      <w:r>
        <w:rPr>
          <w:rFonts w:ascii="Times New Roman" w:eastAsia="Times New Roman" w:hAnsi="Times New Roman" w:cs="Times New Roman"/>
          <w:b w:val="0"/>
          <w:i w:val="0"/>
          <w:vanish w:val="0"/>
          <w:color w:val="000000"/>
          <w:sz w:val="24"/>
        </w:rPr>
        <w:t>2. Specifični cilji in tehnična pomoč</w:t>
      </w:r>
      <w:bookmarkEnd w:id="1"/>
    </w:p>
    <w:p w:rsidR="00A77B3E">
      <w:pPr>
        <w:spacing w:before="100" w:after="0"/>
        <w:jc w:val="left"/>
        <w:rPr>
          <w:rFonts w:ascii="Times New Roman" w:eastAsia="Times New Roman" w:hAnsi="Times New Roman" w:cs="Times New Roman"/>
          <w:b w:val="0"/>
          <w:i w:val="0"/>
          <w:vanish w:val="0"/>
          <w:color w:val="000000"/>
          <w:sz w:val="0"/>
        </w:rPr>
      </w:pPr>
    </w:p>
    <w:p w:rsidR="00A77B3E">
      <w:pPr>
        <w:spacing w:before="100" w:after="0"/>
        <w:jc w:val="left"/>
        <w:rPr>
          <w:rFonts w:ascii="Times New Roman" w:eastAsia="Times New Roman" w:hAnsi="Times New Roman" w:cs="Times New Roman"/>
          <w:b w:val="0"/>
          <w:i w:val="0"/>
          <w:vanish w:val="0"/>
          <w:color w:val="000000"/>
          <w:sz w:val="12"/>
        </w:rPr>
      </w:pPr>
      <w:r>
        <w:rPr>
          <w:rFonts w:ascii="Times New Roman" w:eastAsia="Times New Roman" w:hAnsi="Times New Roman" w:cs="Times New Roman"/>
          <w:b w:val="0"/>
          <w:i w:val="0"/>
          <w:vanish w:val="0"/>
          <w:color w:val="000000"/>
          <w:sz w:val="24"/>
        </w:rPr>
        <w:t>Sklic: člen 22(2) in (4) uredbe o skupnih določbah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592"/>
        <w:gridCol w:w="5185"/>
        <w:gridCol w:w="2593"/>
      </w:tblGrid>
      <w:tr>
        <w:tblPrEx>
          <w:tblW w:w="5000" w:type="pct"/>
        </w:tblPrEx>
        <w:trPr>
          <w:cantSplit w:val="0"/>
          <w:trHeight w:val="160"/>
          <w:tblHeader/>
        </w:trPr>
        <w:tc>
          <w:tcPr>
            <w:tcW w:w="6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Izbrano</w:t>
            </w:r>
          </w:p>
        </w:tc>
        <w:tc>
          <w:tcPr>
            <w:tcW w:w="4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Specifični cilj ali tehnična pomoč</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Vrsta ukrepa</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1. Skupni evropski azilni sistem</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Redni ukrepi</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1. Skupni evropski azilni sistem</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Pakt in posebni ukrep za Ukrajino</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1. Skupni evropski azilni sistem</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Posebni ukrepi</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1. Skupni evropski azilni sistem</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Ukrepi iz Priloge IV</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1. Skupni evropski azilni sistem</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Operativna podpora</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1. Skupni evropski azilni sistem</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Nujna pomoč</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2. Zakonite migracije in vključevanje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Redni ukrepi</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2. Zakonite migracije in vključevanje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Pakt in posebni ukrep za Ukrajino</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2. Zakonite migracije in vključevanje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Posebni ukrepi</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2. Zakonite migracije in vključevanje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Ukrepi iz Priloge IV</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2. Zakonite migracije in vključevanje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Operativna podpora</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2. Zakonite migracije in vključevanje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Nujna pomoč</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3. Vrnitev</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Redni ukrepi</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3. Vrnitev</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Pakt in posebni ukrep za Ukrajino</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3. Vrnitev</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Posebni ukrepi</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3. Vrnitev</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Ukrepi iz Priloge IV</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3. Vrnitev</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Operativna podpora</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3. Vrnitev</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Nujna pomoč</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4. Solidarnost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Redni ukrepi</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4. Solidarnost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Pakt in posebni ukrep za Ukrajino</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4. Solidarnost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Posebni ukrepi</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4. Solidarnost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Ukrepi iz Priloge IV</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4. Solidarnost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Operativna podpora</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4. Solidarnost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Nujna pomoč</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4. Solidarnost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Preselitev in humanitarni sprejem</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4. Solidarnost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Mednarodna zaščita (Premestitev v)</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4. Solidarnost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Mednarodna zaščita (Premestitev iz)</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4. Solidarnost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Solidarity actions</w:t>
            </w: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TA.36(5). Tehnična pomoč – pavšalna stopnja(člen 36(5) uredbe o skupnih določbah)</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p>
        </w:tc>
      </w:tr>
      <w:tr>
        <w:tblPrEx>
          <w:tblW w:w="5000" w:type="pct"/>
        </w:tblPrEx>
        <w:trPr>
          <w:cantSplit w:val="0"/>
          <w:trHeight w:val="160"/>
          <w:tblHeader w:val="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4"/>
              </w:rPr>
              <w:instrText xml:space="preserve"> FORMCHECKBOX </w:instrText>
            </w:r>
            <w:r>
              <w:rPr>
                <w:rFonts w:ascii="Times New Roman" w:eastAsia="Times New Roman" w:hAnsi="Times New Roman" w:cs="Times New Roman"/>
                <w:b w:val="0"/>
                <w:i w:val="0"/>
                <w:vanish w:val="0"/>
                <w:color w:val="000000"/>
                <w:sz w:val="24"/>
              </w:rPr>
              <w:fldChar w:fldCharType="end"/>
            </w:r>
            <w:r>
              <w:rPr>
                <w:rFonts w:ascii="Times New Roman" w:eastAsia="Times New Roman" w:hAnsi="Times New Roman" w:cs="Times New Roman"/>
                <w:b w:val="0"/>
                <w:i w:val="0"/>
                <w:vanish w:val="0"/>
                <w:color w:val="000000"/>
                <w:sz w:val="24"/>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TA.37. Tehnična pomoč – brez povezanih stroškov (člen 37 uredbe o skupnih določbah)</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4"/>
              </w:rPr>
            </w:pPr>
          </w:p>
        </w:tc>
      </w:tr>
    </w:tbl>
    <w:p w:rsidR="00A77B3E">
      <w:pPr>
        <w:spacing w:before="100" w:after="0"/>
        <w:jc w:val="center"/>
        <w:rPr>
          <w:rFonts w:ascii="Times New Roman" w:eastAsia="Times New Roman" w:hAnsi="Times New Roman" w:cs="Times New Roman"/>
          <w:b w:val="0"/>
          <w:i w:val="0"/>
          <w:vanish w:val="0"/>
          <w:color w:val="000000"/>
          <w:sz w:val="2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720" w:right="936" w:bottom="864" w:left="720" w:header="0" w:footer="72" w:gutter="0"/>
          <w:cols w:space="708"/>
          <w:noEndnote/>
          <w:docGrid w:linePitch="360"/>
        </w:sectPr>
      </w:pPr>
    </w:p>
    <w:p w:rsidR="00A77B3E">
      <w:pPr>
        <w:pStyle w:val="Heading2"/>
        <w:spacing w:before="100" w:after="0"/>
        <w:jc w:val="left"/>
        <w:rPr>
          <w:rFonts w:ascii="TimesNewRoman" w:eastAsia="TimesNewRoman" w:hAnsi="TimesNewRoman" w:cs="TimesNewRoman"/>
          <w:b w:val="0"/>
          <w:i w:val="0"/>
          <w:vanish w:val="0"/>
          <w:color w:val="000000"/>
          <w:sz w:val="24"/>
        </w:rPr>
      </w:pPr>
      <w:bookmarkStart w:id="2" w:name="_Toc256000065"/>
      <w:r>
        <w:rPr>
          <w:rFonts w:ascii="TimesNewRoman" w:eastAsia="TimesNewRoman" w:hAnsi="TimesNewRoman" w:cs="TimesNewRoman"/>
          <w:b w:val="0"/>
          <w:i w:val="0"/>
          <w:vanish w:val="0"/>
          <w:color w:val="000000"/>
          <w:sz w:val="24"/>
        </w:rPr>
        <w:t>2.1. Specifični cilj: 1. Skupni evropski azilni sistem</w:t>
      </w:r>
      <w:bookmarkEnd w:id="2"/>
    </w:p>
    <w:p w:rsidR="00A77B3E">
      <w:pPr>
        <w:spacing w:before="100" w:after="0"/>
        <w:jc w:val="left"/>
        <w:rPr>
          <w:rFonts w:ascii="TimesNewRoman" w:eastAsia="TimesNewRoman" w:hAnsi="TimesNewRoman" w:cs="TimesNewRoman"/>
          <w:b w:val="0"/>
          <w:i w:val="0"/>
          <w:vanish w:val="0"/>
          <w:color w:val="000000"/>
          <w:sz w:val="0"/>
        </w:rPr>
      </w:pPr>
    </w:p>
    <w:p w:rsidR="00A77B3E">
      <w:pPr>
        <w:pStyle w:val="Heading3"/>
        <w:spacing w:before="100" w:after="0"/>
        <w:jc w:val="left"/>
        <w:rPr>
          <w:rFonts w:ascii="TimesNewRoman" w:eastAsia="TimesNewRoman" w:hAnsi="TimesNewRoman" w:cs="TimesNewRoman"/>
          <w:b w:val="0"/>
          <w:i w:val="0"/>
          <w:vanish w:val="0"/>
          <w:color w:val="000000"/>
          <w:sz w:val="24"/>
        </w:rPr>
      </w:pPr>
      <w:bookmarkStart w:id="3" w:name="_Toc256000066"/>
      <w:r>
        <w:rPr>
          <w:rFonts w:ascii="TimesNewRoman" w:eastAsia="TimesNewRoman" w:hAnsi="TimesNewRoman" w:cs="TimesNewRoman"/>
          <w:b w:val="0"/>
          <w:i w:val="0"/>
          <w:vanish w:val="0"/>
          <w:color w:val="000000"/>
          <w:sz w:val="24"/>
        </w:rPr>
        <w:t>2.1.1. Opis specifičnega cilja</w:t>
      </w:r>
      <w:bookmarkEnd w:id="3"/>
    </w:p>
    <w:p w:rsidR="00A77B3E">
      <w:pPr>
        <w:spacing w:before="100" w:after="0"/>
        <w:jc w:val="left"/>
        <w:rPr>
          <w:rFonts w:ascii="TimesNewRoman" w:eastAsia="TimesNewRoman" w:hAnsi="TimesNewRoman" w:cs="TimesNew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0240"/>
      </w:tblGrid>
      <w:tr>
        <w:tblPrEx>
          <w:tblW w:w="5000" w:type="pct"/>
          <w:tblLayout w:type="fixed"/>
        </w:tblPrEx>
        <w:trPr>
          <w:cantSplit w:val="0"/>
          <w:trHeight w:val="160"/>
          <w:tblHeader w:val="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0"/>
              </w:rPr>
            </w:pP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Ukrepi Slovenije bodo v okviru SO1 še naprej osredotočeni na izboljšanje kakovosti sprejemanja odločitev. To pomeni, da prosilcem za mednarodno zaščito v sklopu pomoči in podpore še nadalje zagotavljamo dostop do informacij, pravnih in prevajalskih storitev ter tolmačenja, socialnih, zdravstvenih in drugih storitev. Gre za aktivnosti, kot so dopolnjevanje informacijskih storitev, povečevanje mreže pravnih zastopnikov, povečevanje mreže prevajalcev ter vključevanje dodatnih jezikov, za katere se pokaže potreba ter zagotavljanje ustrezne zdravstvene in socialne podpore, ki jo prosilci potrebujejo. Načrtovane so izboljšave sprejemne infrastrukture, storitev, identifikacija in izboljšanje razmer za ranljive osebe ter delovanje na področju usposabljanja javnih uslužbencev za delo na področju azila.</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Skladno s sklepom o aktivaciji Zakona o začasni zaščiti razseljenih oseb, bo tudi tem osebam omogočen dostop do pomoči in podpore. V okviru tega posebnega cilja bo Slovenija izvajala dejavnosti Pakta o migracijah in azilu (v nadaljnjem besedilu: Pakt) na podlagi nacionalnega izvedbenega načrta Pakta o migracijah in azilu, nacionalne strategije o migracijah in azilu ter, širše, v skladu z novim pravnim okvirom.</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Slovenija v okviru tega posebnega cilja pričakuje nemoteno nadaljevanje aktivnosti iz pretekle finančne sheme ter reševanje izzivov in vrzeli na področju zagotavljanja postopkovnih jamstev, in sicer prevajanja in tolmačenja v jezike, ki niso množični, zagotavljati zadostno število pravnih svetovalcev za begunce in zakonitih zastopnikov za mladoletnike brez spremstva.</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Ključna resorja sta Ministrstvo za notranje zadeve Republike Slovenije (MNZ), ki je pristojno za vprašanja azila in migracij ter leta 2017 ustanovljen posebni Urad Vlade RS za oskrbo in integracijo migrantov (UOIM), ki je odgovoren za prosilce za mednarodno zaščito in za osebe s priznano mednarodno zaščito (s statusom begunca ali s subsidiarno zaščito) in od leta 2021 za DTD. Z izvajanjem Pakta se doda novi resor Ministrstvo za pravosodje, ki je odgovorno za izvajanje krepitve pravosodnih zmogljivosti. Sredstva sklada bodo prejeli preko neposredne dodelitve, zaradi zakonskih pristojnosti s predmetnega področja. Določene vsebine bodo razdeljene na podlagi javnih razpisov. Sredstva AMIF predstavljajo le del sredstev za uresničevanje zastavljenih ciljev na področju azilnega sistema. Ta delež za MNZ znaša 40%, preostala sredstva pa bodo zagotovljena iz nacionalnih proračunskih sredstev. Za aktivnosti, ki jih pokriva UOIM, delež AMIF sredstev predstavlja 23%, preostali del pa bo zagotovljen iz nacionalnih proračunskih sredstev. Nacionalna proračunska sredstva bodo namenjena predvsem plačam zaposlenih ter drugim materialnim stroškom.</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Izvajali se bodo naslednji izvedbeni ukrepi 1a, 1b iz Priloge II in zadnje alineje Priloge IV.</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Pričakovani rezultati: S pomočjo teh aktivnosti bo Slovenija zagotavljala učinkovito uveljavljanje zakonskih pravic vseh prosilcev, ki bodo za mednarodno zaščito zaprosili v državi ter jim omogočila nadstandardno oskrbo. Ta bo zagotovljena še zlasti ranljivim skupinam, kot so npr. mladoletniki brez spremstva in osebe s posebnimi potrebami. Hkrati bodo za vse prosilce za mednarodno zaščito zagotovljeni bivalni pogoji, ki bodo primerljivi ali boljši, kot v večini drugih držav članic EU. Glavni rezultati bodo torej zanesljiva in ustrezna celostna oskrba in brezhibno opremljena in delujoča infrastruktura za prosilce. Te aktivnosti se izvajajo tudi za potrebe izvajanja Pakta, pri čemer se bo izvajala tudi ocena ranljivosti oseb, ocena starosti oseb, učinkoviteje se bodo izvajale pravosodne aktivnosti ter za izvajanje Pakta bo vzpostavljen neodvisni nadzorni mehanizem.</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 xml:space="preserve">1) </w:t>
            </w:r>
            <w:r>
              <w:rPr>
                <w:rFonts w:ascii="TimesNewRoman" w:eastAsia="TimesNewRoman" w:hAnsi="TimesNewRoman" w:cs="TimesNewRoman"/>
                <w:b w:val="0"/>
                <w:i w:val="0"/>
                <w:vanish w:val="0"/>
                <w:color w:val="000000"/>
                <w:sz w:val="24"/>
                <w:u w:val="single"/>
              </w:rPr>
              <w:t xml:space="preserve">Izvedbeni ukrep 1a: </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Trenutno ZMZ že celovito ureja mednarodno zaščito, saj prenaša pravo Evropske unije v slovensko pravo in usklajuje slovensko zakonodajo o mednarodni zaščiti z zakonodajo drugih držav članic EU v okviru vzpostavitve skupnega evropskega azilnega sistema. Z začetkom veljavnosti Pakta, junija 2026, bo področje azila urejeno v skladu z Uredbami 2024/1348/EU, 2024/1351/EU, 2024/1347/EU, 2024/1349/EU in Direktivo 2024/1346/EU.</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Pri postopkih za mednarodno zaščito MNZ skladno z zakonodajo zagotavlja temeljna postopkovna jamstva tujcem, ki zaprosijo za mednarodno zaščito. Zagotavlja se informiranje in pravno svetovanje tujcem na področju mednarodne zaščite, brezplačno pravno pomoč pred Upravnim sodiščem RS in Vrhovnim sodiščem RS ter prevajanje in tolmačenje v postopku. V sodelovanju z drugimi pristojnimi organi MNZ izvaja tudi usposabljanje javnih uslužbencev, zakonitih zastopnikov za mladoletne prosilce za mednarodno zaščito brez spremstva in drugih, vključenih v azilne zadeve, zagotavlja podporo v postopkih priznanja mednarodne zaščite, kot so razna izvedenska mnenja, ter nudi podporo v postopku priznanja MZ mladoletnikom brez spremstva.</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Na področju mednarodne zaščite se skladno z veljavno zakonodajo prosilce za mednarodno zaščito ob nastanitvi v njim razumljivem jeziku informira o pravicah, dolžnostih in pravilih bivanja v Azilnem domu in njegovih izpostavah.</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Predvidene aktivnosti so:</w:t>
            </w:r>
          </w:p>
          <w:p w:rsidR="00A77B3E">
            <w:pPr>
              <w:numPr>
                <w:ilvl w:val="0"/>
                <w:numId w:val="2"/>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Informiranje vlagateljev namere za podajo prošnje za mednarodno zaščito in prosilcev za mednarodno zaščito v času trajanja postopka in njihove nastanitve: Gre za zagotavljanje ustreznih informacij osebam, ki nameravajo oddati vlogo, ki zajema pravice in dolžnosti glede postopka, ter posredovanje ustreznih informacij v zvezi s pravili bivanja v Azilnem domu in njegovih izpostavah, požarnem redu, pravicah in dolžnostih ter izvedenih aktivnostih.</w:t>
            </w:r>
          </w:p>
          <w:p w:rsidR="00A77B3E">
            <w:pPr>
              <w:numPr>
                <w:ilvl w:val="0"/>
                <w:numId w:val="2"/>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Pravno svetovanje tujcem na področju mednarodne zaščite: Svetovalci za begunce in vračanje po “Dublinu” - zagotovitev pomoči tujcem in prosilcem za mednarodno zaščito na 1. stopnji pri oddaji vloge in zaslišanju. Operacija se bo dodatno okrepila za izvajanje Pakta.</w:t>
            </w:r>
          </w:p>
          <w:p w:rsidR="00A77B3E">
            <w:pPr>
              <w:numPr>
                <w:ilvl w:val="0"/>
                <w:numId w:val="2"/>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Brezplačna pravna pomoč pred Upravnim sodiščem RS in Vrhovnim sodiščem RS: Zagotovitev brezplačne pravne pomoči prosilcem za mednarodno zaščito v postopkih pred sodišči.</w:t>
            </w:r>
          </w:p>
          <w:p w:rsidR="00A77B3E">
            <w:pPr>
              <w:numPr>
                <w:ilvl w:val="0"/>
                <w:numId w:val="2"/>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Prevajanje in tolmačenje: Spremljanje postopka in sodelovanje v postopku v jeziku, ki ga oseba razume, je ena izmed osnovnih pravic prosilcev za mednarodno zaščito, kar jim želimo omogočiti (sprejem prošnje, osebni razgovor, prevod odločbe, vabil, pri socialnem delu, itd.) s pomočjo tolmača.</w:t>
            </w:r>
          </w:p>
          <w:p w:rsidR="00A77B3E">
            <w:pPr>
              <w:numPr>
                <w:ilvl w:val="0"/>
                <w:numId w:val="2"/>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Podpora v postopku priznanja mednarodne zaščite (zakoniti zastopniki za mladoletnike brez spremstva, izvedeniška mnenja) (90% fin.): Zaradi povečanja števila mladoletnikov brez spremstva se je pokazala potreba po večjem številu zakonitih zastopnikov, usposobljenih za ravnanje z mladoletniki. Mladoletnikom brez spremstva pomoč in podporo zagotavljajo njihovi zakoniti zastopniki, ki jih določi Center za socialno delo. Omenjene zakonite zastopnike je potrebno tudi ustrezno izobraziti za svoje delo ter zagotoviti ustrezen nadzor in supervizijo nad njihovim delom. Z izvedbo izvedeniških mnenj pa prispevamo k omejitvi širitve polja zlorab postopkov mednarodne zaščite. Operacija se bo dodatno okrepila za izvajanje Pakta.</w:t>
            </w:r>
          </w:p>
          <w:p w:rsidR="00A77B3E">
            <w:pPr>
              <w:numPr>
                <w:ilvl w:val="0"/>
                <w:numId w:val="2"/>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Nadgradnja informacijskega sistema s področja migracij: Azilni register in drugi povezani registri se ažurno prilagajajo zakonodajnim spremembam in potrebam po statistični obdelavi podatkov. Informacijski sistem potrebuje stalno nadgradnjo, in sicer zaradi sprememb zakonodaje ali njene implementacije. Tudi skladno z regulativo 2020/851.</w:t>
            </w:r>
          </w:p>
          <w:p w:rsidR="00A77B3E">
            <w:pPr>
              <w:numPr>
                <w:ilvl w:val="0"/>
                <w:numId w:val="2"/>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Stroški kritja najemnine poslovnih prostorov ter povezanih obratovalnih stroškov. Operacija se dodatno okrepi, zaradi izvajanja Pakta (potrebe so že sedaj, po Paktu, bodo še večje).</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Zgornje aktivnosti se smiselno izvajajo tudi za potrebe Pakta, ob upoštevanju strateških ciljev nacionalne strategije za migracije in azil. Poleg tega se izvajajo naslednje aktivnosti:</w:t>
            </w:r>
          </w:p>
          <w:p w:rsidR="00A77B3E">
            <w:pPr>
              <w:numPr>
                <w:ilvl w:val="0"/>
                <w:numId w:val="3"/>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Nadgradnja informacijskega sistema IKT za podporo migracijskim postopkom, s čimer bodo implementirane informacijske rešitve (90% fin.): vzpostavitev aplikacije za samoregistracijo prošenj za mednarodno zaščito (usposabljanje, promocija in vzdrževanje), nadgradnja uradne evidence (azilnega registra), zaradi izvajanja novega pravnega okvira na ravni EU (nadgradnja obrazcev, šifrantov, spletnih servisov za izmenjavo podatkov z zbirkami podatkov UOIM in Policije), avtomatizacija upravnih aktov v postopkih mednarodne zaščite (priprava IKT rešitve za samodejni prenos podatkov), vzpostavitev nadgrajenega podatkovnega skladišča z analitičnim orodjem za spremljanje migracijskih trendov ter optimizirano izvažanje ter grafično prikazovanje statističnih podatkov (boljše poročanje), vljučno z usposabljanjem ter vzdrževanjem sistema. Znotraj tega projekta bodo izvedene dodatne zaposlitve.</w:t>
            </w:r>
          </w:p>
          <w:p w:rsidR="00A77B3E">
            <w:pPr>
              <w:numPr>
                <w:ilvl w:val="0"/>
                <w:numId w:val="3"/>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Vzpostavitev in delovanje neodvisnega nadzornega mehanizma (90% fin.): Po sprejetju zakonodaje bo oseba, pristojna za človekove pravice (predvideno varuh človekovih pravic) uradno imenovan za organ, odgovoren za neodvisni nadzorni mehanizem, in bo uradno vključen v proces delovanja neodvisnega nadzornega mehanizma.</w:t>
            </w:r>
          </w:p>
          <w:p w:rsidR="00A77B3E">
            <w:pPr>
              <w:numPr>
                <w:ilvl w:val="0"/>
                <w:numId w:val="3"/>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Izvajala se bo ocena ranljivosti (med sprejemnim in azilnim postopkom) (90% fin.): Ugotavljanje ranljivosti (npr. mladoletnik brez spremstva, nosečnost in možnost trgovine z ljudmi) bo temeljilo predvsem na zdravstvenem pregledu. Ocena se bo izvedla že med policijskim postopkom s tujcem (v okviru screening postopka ali predhodnega postopka pred vložitvijo prošnje za mednarodno zaščito za tiste tujce, ki ne bodo obravnavani v screening postopku), delno se oceni med zdravniškim pregledom, ki se opravi pred vložitvijo prošnje za mednarodno zaščito, lahko pa se oceni tudi v poznejših fazah (vložitev, razgovor). Znotraj tega projekta bodo izvedene dodatne zaposlitve.</w:t>
            </w:r>
          </w:p>
          <w:p w:rsidR="00A77B3E">
            <w:pPr>
              <w:numPr>
                <w:ilvl w:val="0"/>
                <w:numId w:val="3"/>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Izvajala se bo ocena starosti (90% fin.): Vzpostavitev multidisciplinarnega postopka ocenjevanja starosti oseb v skladu z Direktivo 2024/1346/EU, kjer so vpleteni: Ministrstvo za delo, družino in socialne zadeve, Centri za socialno delo, idr.</w:t>
            </w:r>
          </w:p>
          <w:p w:rsidR="00A77B3E">
            <w:pPr>
              <w:numPr>
                <w:ilvl w:val="0"/>
                <w:numId w:val="3"/>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Krepitev pravosodnih zmogljivosti za učinkovito izvajanje Pakta (90% fin.): Cilj operacije je okrepiti zmogljivosti Upravnega sodišča ter drugih pristojnih pravosodnih deležnikov za izvajanje učinkovitih postopkov mednarodne zaščite v skladu s paktom, z okrepitvijo na kadrovskem področju (10 zaposlitev), kot tudi z vidika zagotovitve ustreznih prostorov, opreme in izobraževanj.</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 xml:space="preserve">2) </w:t>
            </w:r>
            <w:r>
              <w:rPr>
                <w:rFonts w:ascii="TimesNewRoman" w:eastAsia="TimesNewRoman" w:hAnsi="TimesNewRoman" w:cs="TimesNewRoman"/>
                <w:b w:val="0"/>
                <w:i w:val="0"/>
                <w:vanish w:val="0"/>
                <w:color w:val="000000"/>
                <w:sz w:val="24"/>
                <w:u w:val="single"/>
              </w:rPr>
              <w:t xml:space="preserve">Izvedbeni ukrep 1b: </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Na področju zagotavljanja sprejema in oskrbe prosilcev za mednarodno zaščito UOIM skladno s področno zakonodajo zagotavlja aktivnosti, ki omogočajo lažjo začetno integracijo ter skrajšajo obdobje vključenosti v družbo sprejema. Aktivnosti, ki se zagotavljajo osebam, omogočajo večjo samostojnost ter vlogo pri prevzemu in odgovornosti za njihovo življenje. Nudijo tudi dodatno podporo ranljivim kategorijam prosilcev za mednarodno zaščito. Prav tako se na področju vzpostavitve in izboljšanja sprejemne infrastrukture Slovenija sooča s čedalje večjimi izzivi na področju povečanja števila prosilcev za mednarodno zaščito. Zaradi predvidenega nadaljnjega trenda povečevanja prosilcev, je izkazana potreba po povečanju in prilagoditvi obstoječih sprejemnih in nastanitvenih prostorov.</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Predviden je najem kapacitete za namestitev in oskrbo prosilcev za mednarodno zaščito. Sprejemna zmogljivost se bo povečala za 300 postelj. Predvideno je financiranje stroškov delovanja azilnega doma z izpostavami, stroškov materialne oskrbe prosilcev za mednarodno zaščito po končanem postopku preverjanja v skladu z direktivo o sprejemu (sedanjih in prihodnjih) in v primeru postopka na meji, da se prosilcem za mednarodno zaščito zagotovijo osnovne življenjske potrebščine. Financirala se bo tudi vzpostavitev dodatnih nastanitvenih zmogljivosti za zdravljenje in osnovno materialno oskrbo prosilcev za mednarodno zaščito, ki bo poleg osnovnega namena zagotavljala hitro odzivnost v primeru aktivacije kontingentnega načrta ob množičnem prihodu in številu prosilcev za mednarodno zaščito. Predvidena je zaposlitev strokovnih sodelavcev (10 sodelavcev za naloge na področju nastanitve in materialne oskrbe prosilcev in 4 sodelavci za usklajevanje dela in nalog na področju nastanitve in oskrbe ter po potrebi vodenje razgovorov in svetovanje) ter financirali se bodo stroški materialne oskrbe.</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Poleg zgoraj navedenih so predvideni tudi:</w:t>
            </w:r>
          </w:p>
          <w:p w:rsidR="00A77B3E">
            <w:pPr>
              <w:numPr>
                <w:ilvl w:val="0"/>
                <w:numId w:val="4"/>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Zdravstveni pregledi vlagateljev namere za podajo prošnje za MZ: Preventivni zdravstveni in sanitarno – dezinfekcijski pregledi tujcev, ki izrazijo namero za vložitev prošnje za mednarodno zaščito.</w:t>
            </w:r>
          </w:p>
          <w:p w:rsidR="00A77B3E">
            <w:pPr>
              <w:numPr>
                <w:ilvl w:val="0"/>
                <w:numId w:val="4"/>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Zagotavljanje informacij o kulturnih razlikah, sistemu delovanja različnih inštitucij v RS, družbenih normah: prosilcem se v času bivanja v Azilnem domu in njegovih izpostavah nudi različno informiranje in aktivnosti na temo vsakdanjega življenja, digitalizacije, vlog v družini in družbi, itd.</w:t>
            </w:r>
          </w:p>
          <w:p w:rsidR="00A77B3E">
            <w:pPr>
              <w:numPr>
                <w:ilvl w:val="0"/>
                <w:numId w:val="4"/>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Tečaj slovenskega jezika: nastanjenim prosilcem je nuden tečaj slovenskega jezika.</w:t>
            </w:r>
          </w:p>
          <w:p w:rsidR="00A77B3E">
            <w:pPr>
              <w:numPr>
                <w:ilvl w:val="0"/>
                <w:numId w:val="4"/>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Aktivnosti, namenjene prosilcem za mednarodno zaščito: v Azilnem domu in njegovih izpostavah se bodo izvajale različne prostočasne in terapevtske aktivnosti.</w:t>
            </w:r>
          </w:p>
          <w:p w:rsidR="00A77B3E">
            <w:pPr>
              <w:numPr>
                <w:ilvl w:val="0"/>
                <w:numId w:val="4"/>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Zagotavljanje sredstev za nakup šolskih potrebščin: skladno z zakonodajo se otrokom in mladoletnikom brez spremstva (90% fin.) zagotavljajo šolske potrebščine in plačilo obšolskih ter šolskih dejavnosti.</w:t>
            </w:r>
          </w:p>
          <w:p w:rsidR="00A77B3E">
            <w:pPr>
              <w:numPr>
                <w:ilvl w:val="0"/>
                <w:numId w:val="4"/>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Zagotavljanje sredstev za prevoz oseb do različnih institucij: za uveljavljanje različnih pravic se prosilcem za mednarodno zaščito zagotovi mesečne vozovnice, vozovnice za mestni promet in podobno, da se jim omogoči dostop do pristojnih institucij, ki to urejajo.</w:t>
            </w:r>
          </w:p>
          <w:p w:rsidR="00A77B3E">
            <w:pPr>
              <w:numPr>
                <w:ilvl w:val="0"/>
                <w:numId w:val="4"/>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Zagotovitev nastanitve in oskrbe mladoletnikov brez spremstva (zaradi povečanja števila mladoletnikov brez spremstva se je pokazala potreba po sistemski ureditvi nastanitve in oskrbe mladoletnikov brez spremstva ter zagotovitvi programov za zagotavljanje psihosocialne pomoči in izvajanju določenih prostočasnih aktivnosti) (90% fin.).</w:t>
            </w:r>
          </w:p>
          <w:p w:rsidR="00A77B3E">
            <w:pPr>
              <w:numPr>
                <w:ilvl w:val="0"/>
                <w:numId w:val="4"/>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Materialna oskrba prosilcev za mednarodno zaščito: Zagotavljanje izplačevanja žepnin in nagrad za opravljanje osnovnih vzdrževalnih del v Azilnem domu (pobiranje smeti, čiščenje sob in okolice, pomoč pri deljenju obrokov in podobno)</w:t>
            </w:r>
            <w:r>
              <w:rPr>
                <w:rStyle w:val="Emphasis"/>
                <w:rFonts w:ascii="TimesNewRoman" w:eastAsia="TimesNewRoman" w:hAnsi="TimesNewRoman" w:cs="TimesNewRoman"/>
                <w:b w:val="0"/>
                <w:i w:val="0"/>
                <w:vanish w:val="0"/>
                <w:color w:val="000000"/>
                <w:sz w:val="24"/>
              </w:rPr>
              <w:t xml:space="preserve"> </w:t>
            </w:r>
            <w:r>
              <w:rPr>
                <w:rFonts w:ascii="TimesNewRoman" w:eastAsia="TimesNewRoman" w:hAnsi="TimesNewRoman" w:cs="TimesNewRoman"/>
                <w:b w:val="0"/>
                <w:i w:val="0"/>
                <w:vanish w:val="0"/>
                <w:color w:val="000000"/>
                <w:sz w:val="24"/>
              </w:rPr>
              <w:t>ter potrebščin (pripomočki za osebno nego, obuvala in oblačila), ki prosilcem omogočajo uresničevanje pravic.</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Aktivnosti se bodo osredotočale tudi na usposabljanja zaposlenih strokovnih delavcev. Načrtujemo izvedbo dveh operacij:</w:t>
            </w:r>
          </w:p>
          <w:p w:rsidR="00A77B3E">
            <w:pPr>
              <w:numPr>
                <w:ilvl w:val="0"/>
                <w:numId w:val="5"/>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Zagotavljanje supervizije za strokovne sodelavce s področja sprejema: Supervizijo bomo uporabljali kot eno izmed strokovnih metod pri socialnih delavcih, kjer izmenjajo svoje izkušnje s ciljno skupino in si izmenjajo mnenja, kako v določenih situacijah postopati.</w:t>
            </w:r>
          </w:p>
          <w:p w:rsidR="00A77B3E">
            <w:pPr>
              <w:numPr>
                <w:ilvl w:val="0"/>
                <w:numId w:val="5"/>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Študijski obiski strokovnih delavcev s področja sprejema migrantov z namenom prenosa dobrih praks: Namen študijskih obiskov je obiskati države, ki imajo bolj izpopolnjen sistem sprejema migrantov in daljšo tradicijo na tem področju, z namenom prenosa dobrih praks v naš sistem.</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Posebno pozornost je potrebno nameniti čedalje številčnejši ranljivi skupini mladoletnikov brez spremstva. V letu 2019 je bilo nastanjenih 670 mladoletnikov brez spremstva v Dijaškem domu Postojna in Azilnem domu oz. njegovi izpostavi, v letu 2020 pa je bilo nastanjenih 550 mladoletnikov brez spremstva. Skladno s tem je bilo načrtovano povečanje nastanitvenih kapacitet za 45 postelj (90% fin.).</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Za mladoletnike brez spremstva je potrebno zagotoviti ustrezno nastanitev glede na ugotovljeno stopnjo ranljivosti posameznika. Konec leta 2023 je bila sprejeta tudi Uredba o načinu zagotavljanja ustrezne nastanitve, oskrbe in obravnave mladoletnikov brez spremstva. Z njo se ureja nastanitev, oskrba in obravnava otrok, ki so na ozemlju RS brez staršev ali zakonitih zastopnikov. Mladoletniki brez spremstva predstavljajo najbolj ranljivo skupino tujcev. UOIM je po večletnem prizadevanju po sistemski ureditvi področja s 1.4..2024 začel izvajati nastanitev mladoletnikov brez spremstva v skladu z navedeno uredbo v posebni nastanitveni kapaciteti za mladoletnike brez spremstva v Postojni s kapaciteto 70 oseb. Zadnji podatki za leti 2023 in 2024 kažejo, da se število mladoletnikov brez spremstva glede na podatke iz leta 2019 in 2020 še vedno povečuje. Mladoletniki brez spremstva so v letu 2024 predstavljali 2,5 % (2023: 0,67 %) vseh prosilcev za mednarodno zaščito. Njihovo število se je glede na leto 2023 povečalo skoraj za trikrat. Glede na podatke o nastanitvi mladoletnikov brez spremstva (vlagatelji namere, prosilci za mednarodno zaščito, osebe z mednarodno zaščito, osebe z začasno zaščito) je bilo v letu 2024 nastanjenih 2.376 mladoletnikov brez spremstva, od tega večina (98 %) fantov in le malo deklic. To kaže tudi na potrebo po ločeni nastanitveni kapaciteti za deklice in otroke, mlajše od 10 let, ki so mladoletniki brez spremstva.</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Poleg tega je zaznati porast primerov oseb s težavami v duševnem zdravju, posebnimi potrebami in žrtev različnih zlorab. Potrebno je opolnomočenje in vzpodbujanje oseb k aktivnemu premagovanju težav, travm in soočanju z različnimi osebnimi okoliščinami. Predlagane aktivnosti so:</w:t>
            </w:r>
          </w:p>
          <w:p w:rsidR="00A77B3E">
            <w:pPr>
              <w:numPr>
                <w:ilvl w:val="0"/>
                <w:numId w:val="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Zagotavljanje ustrezne specialistične in druge strokovne obravnave (psihiater in druga ustrezna strokovna podpora).</w:t>
            </w:r>
          </w:p>
          <w:p w:rsidR="00A77B3E">
            <w:pPr>
              <w:numPr>
                <w:ilvl w:val="0"/>
                <w:numId w:val="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Programi finančne pomoči za zagotavljanje ustrezne nastanitve za prosilce, ki so razseljeni v inštitucije.</w:t>
            </w:r>
          </w:p>
          <w:p w:rsidR="00A77B3E">
            <w:pPr>
              <w:numPr>
                <w:ilvl w:val="0"/>
                <w:numId w:val="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Vzpostavitev različnih programov in mehanizmov pomoči, prilagojenih potrebam posameznika. Mednje štejemo program opismenjevanja in zagotavljanje učne pomoči otrokom, program informiranja in osveščanja (potencialnih) žrtev trgovine z ljudmi, spolnega nasilja ali nasilja po spolu, ki bo obsegal tudi aktivnosti za preprečevanje različnih vrst nasilja, zgodnja identifikacija za napotitev na specializirane storitve pomoči in zaščite, usposabljanje interesne javnosti ter vodenje, koordinacijo in administrativno delo delovne skupine, ki je imenovana na podlagi Standardnih operativnih postopkov za preprečevanje in urejanje v primerih spolnega nasilja in nasilja na podlagi spola nad osebami, ki so obravnavane po določbah ZMZ, programe v podporo in opolnomočenje ženskam in različne aktivnosti za mladoletnike.</w:t>
            </w:r>
          </w:p>
          <w:p w:rsidR="00A77B3E">
            <w:pPr>
              <w:numPr>
                <w:ilvl w:val="0"/>
                <w:numId w:val="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Zagotovitev izvajanja 24-urne oskrbe otrok mlajših otrok v starosti do 10 let v kriznih centrih (90% fin.).</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Zgornje aktivnosti se smiselno izvajajo tudi za potrebe Pakta, poleg tega se dodatno izvajajo naslednje aktivnosti:</w:t>
            </w:r>
          </w:p>
          <w:p w:rsidR="00A77B3E">
            <w:pPr>
              <w:numPr>
                <w:ilvl w:val="0"/>
                <w:numId w:val="7"/>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Vzpostavitev posebne kapacitete in obravnave za najbolj ranljive posameznike: Namen operacije je vzpostaviti ločeno sprejemno kapaciteto, v katero bi bilo mogoče nastaniti do 50 oseb, ki imajo posebne potrebe glede sprejema in za katere bi bila namestitev v druge kapacitete neprimerna in vzpostavitev tima, ki bo obravnaval sume nasilja po spolu, trgovino z ljudmi in nudil žrtvam posebno psihosocialno oskrbo. Potrebno bo zaposliti strokovne delavce za izvajanje aktivnosti s področja koordiniranja in s področja nastanitve in materialne oskrbe prosilcev ter izvajati vse potrebne aktivnosti (varovanje, čiščenje, prevajanje…). S tem bodo zagotovljeni vsi potrebni zaščitni ukrepi za prosilce za mednarodno zaščito in ranljive osebe. Cilj operacije je zagotoviti celostno, po potrebi tudi 24 urno oskrbo, za najbolj ranljive osebe preko ločene infrastrukture, ki je prilagojena tudi glede na fizične potrebe po namestitvi.</w:t>
            </w:r>
          </w:p>
          <w:p w:rsidR="00A77B3E">
            <w:pPr>
              <w:numPr>
                <w:ilvl w:val="0"/>
                <w:numId w:val="7"/>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Ukrepi za hitro vključevanje v družbo za prosilce za mednarodno zaščito: Namen operacije je zagotoviti prosilcem za mednarodno zaščito pravico do pomoči pri vključevanju v družbo, vključno z informiranjem, tako kot to določa nova sprejemna direktiva. Okrepili se bodo tečaji slovenskega jezika, izboljšalo se bo informiranje prosilcev (prilagojeno glede na stanje prosilca, vzpostavitev posebnih materialov za informiranje), programi opismenjevanja, spoznavanja slovenske družbe, zagotovljeno bo učinkovito informiranje prosilcev za mednarodno zaščito, potrebno bo tui tolmačenje in prevajanje.</w:t>
            </w:r>
          </w:p>
          <w:p w:rsidR="00A77B3E">
            <w:pPr>
              <w:numPr>
                <w:ilvl w:val="0"/>
                <w:numId w:val="7"/>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Celovito spremljanje zagotavljanja pravic prosilcem za mednarodno zaščito in osebam z mednarodno zaščito - digitalizacija: Namen operacije je poenostavitev postopkov v sprejemnem sistemu in ukrepih vključevanja preko digitalizacije, kar bo prineslo osebam lažje in hitrejše uveljavljanje svojih pravic, upravljalcem sistema pa bo prihranilo kadrovske vire, omogočilo analize in izboljšalo možnosti za boljše upravljanje in načrtovanje sistema. Način spremljanja vstopov in izstopov iz objekta bo bolj učinkovit, prosilcem bo omogočen dostop znotraj namestitvenih kapacitet samo do prostorov ter storitev, do katerih so upravičeni. Potrebno bo vzpostaviti nov informacijski sistem, ki bo povezan tako z azilnim registrom, kot tudi drugimi evidencami, ga vzdrževati in nadgrajevati za varnost pred kibernetskimi napadi.</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Ob množičnem prihodu in številu prosilcev za mednarodno zaščito ter v primeru aktivacije Kontingentnega načrta se bo izvajala operacija Aktivacija kontingentnega načrta, ki vključuje dodatne zaposlitve, nove nastanitvene kapacitete, materialno oskrbo prosilcev, zagotavljanje storitev, vezanih na pravice prosilcev, tehnična sredstva ter druge podporne storitve, skladno z načrtom. Sredstva za prenovo kontingentnega načrta bodo delno financirana iz AMIF, večinoma pa bodo zagotovljena iz nacionalnih sredstev Slovenije.</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 xml:space="preserve">3) </w:t>
            </w:r>
            <w:r>
              <w:rPr>
                <w:rFonts w:ascii="TimesNewRoman" w:eastAsia="TimesNewRoman" w:hAnsi="TimesNewRoman" w:cs="TimesNewRoman"/>
                <w:b w:val="0"/>
                <w:i w:val="0"/>
                <w:vanish w:val="0"/>
                <w:color w:val="000000"/>
                <w:sz w:val="24"/>
                <w:u w:val="single"/>
              </w:rPr>
              <w:t>Operativna podpora:</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Na podlagi Zakona o spremembah in dopolnitvah ZMZ, ki določa temeljna načela in jamstva v postopkih mednarodne zaščite, postopek za priznanje, podaljšanje in odvzem mednarodne zaščite, trajanje in vsebino mednarodne zaščite ter obseg pravic in dolžnosti prosilcev za mednarodno zaščito, sta MNZ in UOIM pristojna organa, ki po tem zakonu izvajata postopke mednarodne zaščite in vse aktivnosti povezane s prosilci. Operativna podpora v okviru SO1 vezano na okrepitev in razvoj vseh vidikov skupnega evropskega azilnega sistema zajema stroške zaposlenih, stroške storitev, kot je vzdrževanje ali zamenjava opreme ter stroške storitev, kot sta vzdrževanje in popravilo infrastrukture.</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Stroški MNZ, vezani na postopek sprejema in obravnave prošenj za mednarodno zaščito so vzdrževanje/popravilo obstoječe infrastrukture, kot na primer vzdrževanje sob za zaslišanje, dublinskega oddelka in zamenjava opreme, ki je potrebna v procesu sprejema prošenj za mednarodno zaščito, vse do izdaje odločitve v postopku mednarodne zaščite, med drugim pridobitev sodobnejših tiskalnikov izkaznic za prosilce za mednarodno zaščito, oprema za dublinski oddelek, oprema za odvzem prstnih odtisov, ipd. Vezano na izvajanje Pakta bo operativna podpora uporabljena za zaposlitve na dublinskem oddelku in zaposleni bodo odločevalci na postopkih za mednarodno zaščito.</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Stroški UOIM pa bodo vezani na stroške zaposlenih, ki so v neposrednem stiku s prosilci (npr. socialni delavci). Na ta način se bo zagotovilo nemoteno koriščenje sredstev iz sklada. Poleg tega v azilnih domovih zaradi razmeroma hitrih sprememb nastanjenih oseb prihaja do pogostega dotrajanja in občasno tudi uničenja opreme ter okvar, povezanih z vzdrževanjem infrastrukture. Iz naslova operativne podpore nameravamo kriti tudi tiste stroške, ki jih konkretneje vnaprej ni mogoče predvideti, vendar so nujni za zagotavljanje ustreznih nastanitvenih pogojev. Vezano na izvajanje Pakta bodo sredstva operativne podpore povečana za zagotavljanje podpore osebam z mednarodno zaščito pri vključevanju v slovensko družbo skozi individualna svetovanja ter spremljanja. Cilj operacije je okrepiti psihosocialno delo, ki ga izvajajo svetovalci za integracijo.</w:t>
            </w:r>
          </w:p>
          <w:p w:rsidR="00A77B3E">
            <w:pPr>
              <w:spacing w:before="100" w:after="0"/>
              <w:jc w:val="left"/>
              <w:rPr>
                <w:rFonts w:ascii="TimesNewRoman" w:eastAsia="TimesNewRoman" w:hAnsi="TimesNewRoman" w:cs="TimesNewRoman"/>
                <w:b w:val="0"/>
                <w:i w:val="0"/>
                <w:vanish w:val="0"/>
                <w:color w:val="000000"/>
                <w:sz w:val="6"/>
              </w:rPr>
            </w:pPr>
          </w:p>
          <w:p w:rsidR="00A77B3E">
            <w:pPr>
              <w:spacing w:before="100" w:after="0"/>
              <w:jc w:val="left"/>
              <w:rPr>
                <w:rFonts w:ascii="TimesNewRoman" w:eastAsia="TimesNewRoman" w:hAnsi="TimesNewRoman" w:cs="TimesNewRoman"/>
                <w:b w:val="0"/>
                <w:i w:val="0"/>
                <w:vanish w:val="0"/>
                <w:color w:val="000000"/>
                <w:sz w:val="6"/>
              </w:rPr>
            </w:pPr>
          </w:p>
        </w:tc>
      </w:tr>
    </w:tbl>
    <w:p w:rsidR="00A77B3E">
      <w:pPr>
        <w:spacing w:before="100" w:after="0"/>
        <w:jc w:val="left"/>
        <w:rPr>
          <w:rFonts w:ascii="TimesNewRoman" w:eastAsia="TimesNewRoman" w:hAnsi="TimesNewRoman" w:cs="TimesNewRoman"/>
          <w:b w:val="0"/>
          <w:i w:val="0"/>
          <w:vanish w:val="0"/>
          <w:color w:val="000000"/>
          <w:sz w:val="2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720" w:right="936" w:bottom="864" w:left="720" w:header="0" w:footer="72" w:gutter="0"/>
          <w:cols w:space="708"/>
          <w:noEndnote/>
          <w:docGrid w:linePitch="360"/>
        </w:sectPr>
      </w:pPr>
    </w:p>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2.1. Specifični cilj 1. Skupni evropski azilni sistem</w:t>
      </w:r>
    </w:p>
    <w:p w:rsidR="00A77B3E">
      <w:pPr>
        <w:pStyle w:val="Heading3"/>
        <w:spacing w:before="100" w:after="0"/>
        <w:jc w:val="left"/>
        <w:rPr>
          <w:rFonts w:ascii="Times New Roman" w:eastAsia="Times New Roman" w:hAnsi="Times New Roman" w:cs="Times New Roman"/>
          <w:b w:val="0"/>
          <w:i w:val="0"/>
          <w:vanish w:val="0"/>
          <w:color w:val="000000"/>
          <w:sz w:val="24"/>
        </w:rPr>
      </w:pPr>
      <w:bookmarkStart w:id="4" w:name="_Toc256000067"/>
      <w:r>
        <w:rPr>
          <w:rFonts w:ascii="Times New Roman" w:eastAsia="Times New Roman" w:hAnsi="Times New Roman" w:cs="Times New Roman"/>
          <w:b w:val="0"/>
          <w:i w:val="0"/>
          <w:vanish w:val="0"/>
          <w:color w:val="000000"/>
          <w:sz w:val="24"/>
        </w:rPr>
        <w:t>2.1.2. Kazalniki</w:t>
      </w:r>
      <w:bookmarkEnd w:id="4"/>
    </w:p>
    <w:p w:rsidR="00A77B3E">
      <w:pPr>
        <w:spacing w:before="100" w:after="0"/>
        <w:jc w:val="left"/>
        <w:rPr>
          <w:rFonts w:ascii="Times New Roman" w:eastAsia="Times New Roman" w:hAnsi="Times New Roman" w:cs="Times New Roman"/>
          <w:b w:val="0"/>
          <w:i w:val="0"/>
          <w:vanish w:val="0"/>
          <w:color w:val="000000"/>
          <w:sz w:val="12"/>
        </w:rPr>
      </w:pPr>
      <w:r>
        <w:rPr>
          <w:rFonts w:ascii="Times New Roman" w:eastAsia="Times New Roman" w:hAnsi="Times New Roman" w:cs="Times New Roman"/>
          <w:b w:val="0"/>
          <w:i w:val="0"/>
          <w:vanish w:val="0"/>
          <w:color w:val="000000"/>
          <w:sz w:val="24"/>
        </w:rPr>
        <w:t>Sklic: člen 22(4)(e) uredbe o skupnih določbah</w:t>
      </w:r>
    </w:p>
    <w:p w:rsidR="00A77B3E">
      <w:pPr>
        <w:pStyle w:val="Heading4"/>
        <w:spacing w:before="100" w:after="0"/>
        <w:jc w:val="left"/>
        <w:rPr>
          <w:rFonts w:ascii="Times New Roman" w:eastAsia="Times New Roman" w:hAnsi="Times New Roman" w:cs="Times New Roman"/>
          <w:b w:val="0"/>
          <w:i w:val="0"/>
          <w:vanish w:val="0"/>
          <w:color w:val="000000"/>
          <w:sz w:val="24"/>
        </w:rPr>
      </w:pPr>
      <w:bookmarkStart w:id="5" w:name="_Toc256000068"/>
      <w:r>
        <w:rPr>
          <w:rFonts w:ascii="Times New Roman" w:eastAsia="Times New Roman" w:hAnsi="Times New Roman" w:cs="Times New Roman"/>
          <w:b w:val="0"/>
          <w:i w:val="0"/>
          <w:vanish w:val="0"/>
          <w:color w:val="000000"/>
          <w:sz w:val="24"/>
        </w:rPr>
        <w:t>Tabela 1: Kazalniki učinka</w:t>
      </w:r>
      <w:bookmarkEnd w:id="5"/>
    </w:p>
    <w:p w:rsidR="00A77B3E">
      <w:pPr>
        <w:spacing w:before="100" w:after="0"/>
        <w:jc w:val="left"/>
        <w:rPr>
          <w:rFonts w:ascii="Times New Roman" w:eastAsia="Times New Roman" w:hAnsi="Times New Roman" w:cs="Times New 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30"/>
        <w:gridCol w:w="10652"/>
        <w:gridCol w:w="1214"/>
        <w:gridCol w:w="1293"/>
        <w:gridCol w:w="1013"/>
      </w:tblGrid>
      <w:tr>
        <w:tblPrEx>
          <w:tblW w:w="5000" w:type="pct"/>
        </w:tblPrEx>
        <w:trPr>
          <w:cantSplit w:val="0"/>
          <w:trHeight w:hRule="auto" w:val="0"/>
          <w:tblHeader/>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Identifikator</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Kazalnik</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Mejnik (2024)</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Cilj (2029)</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O.1.1</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udeležencev, ki so prejeli podporo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10.644</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185.490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O.1.1.1</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od tega število udeležencev, ki so prejeli pravno pomoč</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10.644</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17.740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O.1.1.2</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od tega število udeležencev, ki prejemajo druge vrste podpore, vključno z informacijami in pomočjo v celotnem azilnem postopku</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167.750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O.1.1.3</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od tega število ranljivih udeležencev, ki so prejeli pomoč</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2.000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30.290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O.1.2</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udeležencev dejavnosti usposabljanja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75</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170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O.1.3</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novo ustvarjenih mest v sprejemni infrastrukturi v skladu s pravnim redom Unije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45</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420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O.1.3.1</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od tega število novoustvarjenih mest za mladoletnike brez spremstva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45</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70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O.1.4</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prenovljenih/obnovljenih mest v sprejemni infrastrukturi v skladu s pravnim redom Unije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O.1.4.1</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od tega število prenovljenih/obnovljenih mest za mladoletnike brez spremstva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r>
    </w:tbl>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0"/>
        </w:rPr>
        <w:br w:type="page"/>
      </w:r>
      <w:r>
        <w:rPr>
          <w:rFonts w:ascii="Times New Roman" w:eastAsia="Times New Roman" w:hAnsi="Times New Roman" w:cs="Times New Roman"/>
          <w:b w:val="0"/>
          <w:i w:val="0"/>
          <w:vanish w:val="0"/>
          <w:color w:val="000000"/>
          <w:sz w:val="24"/>
        </w:rPr>
        <w:t>2.1. Specifični cilj 1. Skupni evropski azilni sistem</w:t>
      </w:r>
    </w:p>
    <w:p w:rsidR="00A77B3E">
      <w:pPr>
        <w:spacing w:before="100" w:after="0"/>
        <w:jc w:val="left"/>
        <w:rPr>
          <w:rFonts w:ascii="Times New Roman" w:eastAsia="Times New Roman" w:hAnsi="Times New Roman" w:cs="Times New Roman"/>
          <w:b w:val="0"/>
          <w:i w:val="0"/>
          <w:vanish w:val="0"/>
          <w:color w:val="000000"/>
          <w:sz w:val="0"/>
        </w:rPr>
      </w:pPr>
      <w:r>
        <w:rPr>
          <w:rFonts w:ascii="Times New Roman" w:eastAsia="Times New Roman" w:hAnsi="Times New Roman" w:cs="Times New Roman"/>
          <w:b w:val="0"/>
          <w:i w:val="0"/>
          <w:vanish w:val="0"/>
          <w:color w:val="000000"/>
          <w:sz w:val="24"/>
        </w:rPr>
        <w:t>2.1.2. Kazalniki</w:t>
      </w:r>
    </w:p>
    <w:p w:rsidR="00A77B3E">
      <w:pPr>
        <w:spacing w:before="100" w:after="0"/>
        <w:jc w:val="left"/>
        <w:rPr>
          <w:rFonts w:ascii="Times New Roman" w:eastAsia="Times New Roman" w:hAnsi="Times New Roman" w:cs="Times New Roman"/>
          <w:b w:val="0"/>
          <w:i w:val="0"/>
          <w:vanish w:val="0"/>
          <w:color w:val="000000"/>
          <w:sz w:val="12"/>
        </w:rPr>
      </w:pPr>
      <w:r>
        <w:rPr>
          <w:rFonts w:ascii="Times New Roman" w:eastAsia="Times New Roman" w:hAnsi="Times New Roman" w:cs="Times New Roman"/>
          <w:b w:val="0"/>
          <w:i w:val="0"/>
          <w:vanish w:val="0"/>
          <w:color w:val="000000"/>
          <w:sz w:val="24"/>
        </w:rPr>
        <w:t>Sklic: člen 22(4)(e) uredbe o skupnih določbah</w:t>
      </w:r>
    </w:p>
    <w:p w:rsidR="00A77B3E">
      <w:pPr>
        <w:pStyle w:val="Heading4"/>
        <w:spacing w:before="100" w:after="0"/>
        <w:jc w:val="left"/>
        <w:rPr>
          <w:rFonts w:ascii="Times New Roman" w:eastAsia="Times New Roman" w:hAnsi="Times New Roman" w:cs="Times New Roman"/>
          <w:b w:val="0"/>
          <w:i w:val="0"/>
          <w:vanish w:val="0"/>
          <w:color w:val="000000"/>
          <w:sz w:val="24"/>
        </w:rPr>
      </w:pPr>
      <w:bookmarkStart w:id="6" w:name="_Toc256000069"/>
      <w:r>
        <w:rPr>
          <w:rFonts w:ascii="Times New Roman" w:eastAsia="Times New Roman" w:hAnsi="Times New Roman" w:cs="Times New Roman"/>
          <w:b w:val="0"/>
          <w:i w:val="0"/>
          <w:vanish w:val="0"/>
          <w:color w:val="000000"/>
          <w:sz w:val="24"/>
        </w:rPr>
        <w:t>Tabela 2: Kazalniki rezultatov</w:t>
      </w:r>
      <w:bookmarkEnd w:id="6"/>
    </w:p>
    <w:p w:rsidR="00A77B3E">
      <w:pPr>
        <w:spacing w:before="100" w:after="0"/>
        <w:jc w:val="left"/>
        <w:rPr>
          <w:rFonts w:ascii="Times New Roman" w:eastAsia="Times New Roman" w:hAnsi="Times New Roman" w:cs="Times New 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760"/>
        <w:gridCol w:w="2276"/>
        <w:gridCol w:w="1517"/>
        <w:gridCol w:w="1517"/>
        <w:gridCol w:w="1517"/>
        <w:gridCol w:w="1517"/>
        <w:gridCol w:w="1517"/>
        <w:gridCol w:w="1517"/>
        <w:gridCol w:w="1517"/>
        <w:gridCol w:w="1517"/>
      </w:tblGrid>
      <w:tr>
        <w:tblPrEx>
          <w:tblW w:w="5000" w:type="pct"/>
          <w:tblLayout w:type="fixed"/>
        </w:tblPrEx>
        <w:trPr>
          <w:cantSplit w:val="0"/>
          <w:trHeight w:hRule="auto" w:val="0"/>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Identifikator</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Kazalnik</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Izhodišče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 za izhodišče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Referenčna leta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Cilj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 za cilj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Vir podatkov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Opombe</w:t>
            </w: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R.1.5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udeležencev, ki menijo, da je usposabljanje koristno za njihovo delo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delež</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141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Rezultati ankete, ki jih na koncu usposabljanja oz. izobraževanja izpolnijo udeleženci; interne evidence UOIM.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p w:rsidR="00A77B3E">
            <w:pPr>
              <w:spacing w:before="100" w:after="0"/>
              <w:jc w:val="left"/>
              <w:rPr>
                <w:rFonts w:ascii="Times New Roman" w:eastAsia="Times New Roman" w:hAnsi="Times New Roman" w:cs="Times New Roman"/>
                <w:b w:val="0"/>
                <w:i w:val="0"/>
                <w:vanish w:val="0"/>
                <w:color w:val="000000"/>
                <w:sz w:val="20"/>
              </w:rPr>
            </w:pP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R.1.6</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udeležencev, ki tri mesece po usposabljanju poročajo, da uporabljajo spretnosti in kompetence, pridobljene med usposabljanjem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delež</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141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Rezultati ankete, ki jih na koncu usposabljanja oz. izobraževanja izpolnijo udeleženci; interne evidence UOIM.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R.1.7</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oseb, za katere so se uporabile alternative pridržanju</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Interne evidence in letna poročila Centra za tujce.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R.1.7.1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od tega število mladoletnikov brez spremstva, za katere so se uporabile alternative pridržanju</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Interne evidence in letna poročila Centra za tujce.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R.1.7.2</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od tega število družin, za katere so se uporabile alternative pridržanju</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Interne evidence in letna poročila Centra za tujce.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tc>
      </w:tr>
    </w:tbl>
    <w:p w:rsidR="00A77B3E">
      <w:pPr>
        <w:spacing w:before="100" w:after="0"/>
        <w:jc w:val="left"/>
        <w:rPr>
          <w:rFonts w:ascii="Times New Roman" w:eastAsia="Times New Roman" w:hAnsi="Times New Roman" w:cs="Times New Roman"/>
          <w:b w:val="0"/>
          <w:i w:val="0"/>
          <w:vanish w:val="0"/>
          <w:color w:val="000000"/>
          <w:sz w:val="20"/>
        </w:rPr>
        <w:sectPr>
          <w:headerReference w:type="even" r:id="rId22"/>
          <w:headerReference w:type="default" r:id="rId23"/>
          <w:footerReference w:type="even" r:id="rId24"/>
          <w:footerReference w:type="default" r:id="rId25"/>
          <w:headerReference w:type="first" r:id="rId26"/>
          <w:footerReference w:type="first" r:id="rId27"/>
          <w:type w:val="nextPage"/>
          <w:pgSz w:w="16838" w:h="11906" w:orient="landscape"/>
          <w:pgMar w:top="720" w:right="720" w:bottom="864" w:left="936" w:header="288" w:footer="72" w:gutter="0"/>
          <w:cols w:space="708"/>
          <w:noEndnote/>
          <w:docGrid w:linePitch="360"/>
        </w:sectPr>
      </w:pPr>
    </w:p>
    <w:p w:rsidR="00A77B3E">
      <w:pPr>
        <w:spacing w:before="100" w:after="0"/>
        <w:jc w:val="left"/>
        <w:rPr>
          <w:rFonts w:ascii="Times New Roman" w:eastAsia="Times New Roman" w:hAnsi="Times New Roman" w:cs="Times New Roman"/>
          <w:b w:val="0"/>
          <w:i w:val="0"/>
          <w:vanish w:val="0"/>
          <w:color w:val="000000"/>
          <w:sz w:val="0"/>
        </w:rPr>
      </w:pPr>
      <w:r>
        <w:rPr>
          <w:rFonts w:ascii="Times New Roman" w:eastAsia="Times New Roman" w:hAnsi="Times New Roman" w:cs="Times New Roman"/>
          <w:b w:val="0"/>
          <w:i w:val="0"/>
          <w:vanish w:val="0"/>
          <w:color w:val="000000"/>
          <w:sz w:val="24"/>
        </w:rPr>
        <w:t>2.1. Specifični cilj 1. Skupni evropski azilni sistem</w:t>
      </w:r>
    </w:p>
    <w:p w:rsidR="00A77B3E">
      <w:pPr>
        <w:pStyle w:val="Heading3"/>
        <w:spacing w:before="100" w:after="0"/>
        <w:jc w:val="left"/>
        <w:rPr>
          <w:rFonts w:ascii="Times New Roman" w:eastAsia="Times New Roman" w:hAnsi="Times New Roman" w:cs="Times New Roman"/>
          <w:b w:val="0"/>
          <w:i w:val="0"/>
          <w:vanish w:val="0"/>
          <w:color w:val="000000"/>
          <w:sz w:val="24"/>
        </w:rPr>
      </w:pPr>
      <w:bookmarkStart w:id="7" w:name="_Toc256000070"/>
      <w:r>
        <w:rPr>
          <w:rFonts w:ascii="Times New Roman" w:eastAsia="Times New Roman" w:hAnsi="Times New Roman" w:cs="Times New Roman"/>
          <w:b w:val="0"/>
          <w:i w:val="0"/>
          <w:vanish w:val="0"/>
          <w:color w:val="000000"/>
          <w:sz w:val="24"/>
        </w:rPr>
        <w:t>2.1.3. Okvirna razčlenitev programskih sredstev (EU) po vrsti ukrepa</w:t>
      </w:r>
      <w:bookmarkEnd w:id="7"/>
    </w:p>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Sklic: člen 22(5) uredbe o skupnih določbah, člen 16(2) uredbe o AMIF, člen 13(12) uredbe o SNV ali člen 13(18) uredbe o IUMV</w:t>
      </w:r>
    </w:p>
    <w:p w:rsidR="00A77B3E">
      <w:pPr>
        <w:pStyle w:val="Heading4"/>
        <w:spacing w:before="100" w:after="0"/>
        <w:jc w:val="left"/>
        <w:rPr>
          <w:rFonts w:ascii="Times New Roman" w:eastAsia="Times New Roman" w:hAnsi="Times New Roman" w:cs="Times New Roman"/>
          <w:b w:val="0"/>
          <w:i w:val="0"/>
          <w:vanish w:val="0"/>
          <w:color w:val="000000"/>
          <w:sz w:val="24"/>
        </w:rPr>
      </w:pPr>
      <w:bookmarkStart w:id="8" w:name="_Toc256000071"/>
      <w:r>
        <w:rPr>
          <w:rFonts w:ascii="Times New Roman" w:eastAsia="Times New Roman" w:hAnsi="Times New Roman" w:cs="Times New Roman"/>
          <w:b w:val="0"/>
          <w:i w:val="0"/>
          <w:vanish w:val="0"/>
          <w:color w:val="000000"/>
          <w:sz w:val="24"/>
        </w:rPr>
        <w:t>Tabela 3: Okvirna razčlenitev</w:t>
      </w:r>
      <w:bookmarkEnd w:id="8"/>
    </w:p>
    <w:p w:rsidR="00A77B3E">
      <w:pPr>
        <w:spacing w:before="100" w:after="0"/>
        <w:jc w:val="left"/>
        <w:rPr>
          <w:rFonts w:ascii="Times New Roman" w:eastAsia="Times New Roman" w:hAnsi="Times New Roman" w:cs="Times New 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075"/>
        <w:gridCol w:w="10873"/>
        <w:gridCol w:w="2354"/>
      </w:tblGrid>
      <w:tr>
        <w:tblPrEx>
          <w:tblW w:w="5000" w:type="pct"/>
        </w:tblPrEx>
        <w:trPr>
          <w:cantSplit w:val="0"/>
          <w:trHeight w:hRule="auto" w:val="0"/>
          <w:tblHeader/>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Vrsta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Oznaka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Okvirni znesek (v EUR)</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001.Pogoji za sprejem</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21.297.385,26</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002.Azilni postopki</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5.068.280,00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003.Izvajanje pravnega reda Unije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4.036.555,70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004.Otroci v migracijah</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8.175.000,00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005.Osebe s posebnimi potrebami glede sprejema in postopkovnimi potrebami</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3.645.848,95</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006.Programi Unije za preselitev ali nacionalnimi sistemi za preselitev in humanitarni sprejem (točka 2(g) Priloge III)</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007.Operativna podpora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3.006.775,00</w:t>
            </w:r>
          </w:p>
        </w:tc>
      </w:tr>
    </w:tbl>
    <w:p w:rsidR="00A77B3E">
      <w:pPr>
        <w:spacing w:before="100" w:after="0"/>
        <w:jc w:val="left"/>
        <w:rPr>
          <w:rFonts w:ascii="Times New Roman" w:eastAsia="Times New Roman" w:hAnsi="Times New Roman" w:cs="Times New Roman"/>
          <w:b w:val="0"/>
          <w:i w:val="0"/>
          <w:vanish w:val="0"/>
          <w:color w:val="000000"/>
          <w:sz w:val="20"/>
        </w:rPr>
        <w:sectPr>
          <w:type w:val="nextPage"/>
          <w:pgSz w:w="16838" w:h="11906" w:orient="landscape"/>
          <w:pgMar w:top="720" w:right="720" w:bottom="864" w:left="936" w:header="288" w:footer="72" w:gutter="0"/>
          <w:cols w:space="708"/>
          <w:noEndnote/>
          <w:docGrid w:linePitch="360"/>
        </w:sectPr>
      </w:pPr>
    </w:p>
    <w:p w:rsidR="00A77B3E">
      <w:pPr>
        <w:pStyle w:val="Heading2"/>
        <w:spacing w:before="100" w:after="0"/>
        <w:jc w:val="left"/>
        <w:rPr>
          <w:rFonts w:ascii="TimesNewRoman" w:eastAsia="TimesNewRoman" w:hAnsi="TimesNewRoman" w:cs="TimesNewRoman"/>
          <w:b w:val="0"/>
          <w:i w:val="0"/>
          <w:vanish w:val="0"/>
          <w:color w:val="000000"/>
          <w:sz w:val="24"/>
        </w:rPr>
      </w:pPr>
      <w:bookmarkStart w:id="9" w:name="_Toc256000072"/>
      <w:r>
        <w:rPr>
          <w:rFonts w:ascii="TimesNewRoman" w:eastAsia="TimesNewRoman" w:hAnsi="TimesNewRoman" w:cs="TimesNewRoman"/>
          <w:b w:val="0"/>
          <w:i w:val="0"/>
          <w:vanish w:val="0"/>
          <w:color w:val="000000"/>
          <w:sz w:val="24"/>
        </w:rPr>
        <w:t>2.1. Specifični cilj: 2. Zakonite migracije in vključevanje</w:t>
      </w:r>
      <w:bookmarkEnd w:id="9"/>
    </w:p>
    <w:p w:rsidR="00A77B3E">
      <w:pPr>
        <w:spacing w:before="100" w:after="0"/>
        <w:jc w:val="left"/>
        <w:rPr>
          <w:rFonts w:ascii="TimesNewRoman" w:eastAsia="TimesNewRoman" w:hAnsi="TimesNewRoman" w:cs="TimesNewRoman"/>
          <w:b w:val="0"/>
          <w:i w:val="0"/>
          <w:vanish w:val="0"/>
          <w:color w:val="000000"/>
          <w:sz w:val="0"/>
        </w:rPr>
      </w:pPr>
    </w:p>
    <w:p w:rsidR="00A77B3E">
      <w:pPr>
        <w:pStyle w:val="Heading3"/>
        <w:spacing w:before="100" w:after="0"/>
        <w:jc w:val="left"/>
        <w:rPr>
          <w:rFonts w:ascii="TimesNewRoman" w:eastAsia="TimesNewRoman" w:hAnsi="TimesNewRoman" w:cs="TimesNewRoman"/>
          <w:b w:val="0"/>
          <w:i w:val="0"/>
          <w:vanish w:val="0"/>
          <w:color w:val="000000"/>
          <w:sz w:val="24"/>
        </w:rPr>
      </w:pPr>
      <w:bookmarkStart w:id="10" w:name="_Toc256000073"/>
      <w:r>
        <w:rPr>
          <w:rFonts w:ascii="TimesNewRoman" w:eastAsia="TimesNewRoman" w:hAnsi="TimesNewRoman" w:cs="TimesNewRoman"/>
          <w:b w:val="0"/>
          <w:i w:val="0"/>
          <w:vanish w:val="0"/>
          <w:color w:val="000000"/>
          <w:sz w:val="24"/>
        </w:rPr>
        <w:t>2.1.1. Opis specifičnega cilja</w:t>
      </w:r>
      <w:bookmarkEnd w:id="10"/>
    </w:p>
    <w:p w:rsidR="00A77B3E">
      <w:pPr>
        <w:spacing w:before="100" w:after="0"/>
        <w:jc w:val="left"/>
        <w:rPr>
          <w:rFonts w:ascii="TimesNewRoman" w:eastAsia="TimesNewRoman" w:hAnsi="TimesNewRoman" w:cs="TimesNew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0240"/>
      </w:tblGrid>
      <w:tr>
        <w:tblPrEx>
          <w:tblW w:w="5000" w:type="pct"/>
          <w:tblLayout w:type="fixed"/>
        </w:tblPrEx>
        <w:trPr>
          <w:cantSplit w:val="0"/>
          <w:trHeight w:hRule="auto" w:val="0"/>
          <w:tblHeader w:val="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0"/>
              </w:rPr>
            </w:pP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Dejavnosti poskušajo osebam z mednarodno zaščito in DTD zagotoviti (lokalni) dostop do celostnega svetovanja in informacij o življenju in delu ter jih seznaniti z dolžnostmi in pričakovanji države gostiteljice. To vključuje tudi ukrepe, ki bodo varovali enotni sistem priseljevanja v državah članicah Evropske unije. Skladno z Zakonom o začasni zaščiti razseljenih oseb bodo vključene tudi osebe s statusom začasne zaščite.</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V okviru tega posebnega cilja bo Slovenija izvajala dejavnosti Pakta o migracijah in azilu (v nadaljnjem besedilu: Pakt) na podlagi nacionalnega izvedbenega načrta Pakta o migracijah in azilu, nacionalne strategije o migracijah in azilu ter širše, v skladu z novim pravnim okvirom.</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Splošne nacionalne prioritete, za katere Slovenija zagotavlja državno financiranje, so zagotavljanje delovanja sistema za upravljanje zakonitega priseljevanja in vključevanja DTD.</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Glavni ukrepi, ki jih sofinancira AMIF, vključujejo zlasti učenje slovenskega jezika in opravljanje preizkusov znanja iz slovenskega jezika, podporo osebam z mednarodno zaščito, in informiranje DTD.</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Vključevanje DTD in oseb z mednarodno zaščito je prioritetna naloga v skladu z evropsko agendo za vključevanje in se izvaja v okviru nacionalne politike, z dodatnim poudarkom na ranljivih ciljnih skupinah. Na podlagi Strategije Vlade RS na področju migracij, sprejete julija 2019, je Slovenija v okviru posebnega cilja SO2 določila svoje prednostne naloge v okviru spodaj navedenih ukrepov. V letu 2024 je Vlada RS sprejela še Strategijo na področju priseljevanja, ki vključuje štiri strateške cilje, ki celovito obravnavajo različne vidike priseljevanja. Prvi cilj je osredotočen na zunanje delovanje, usmerjeno v odpravo vzrokov za priseljevanje in obravnavanje posledic podnebnih sprememb. Drugi cilj je usmerjen v spodbujanje zakonitega priseljevanja, zaradi zaposlitve ali dela. Tretji cilj se osredotoča na zaščito življenja in na obravnavo vidikov prisilnih razselitev, predvsem v okviru sistemov mednarodne in začasne zaščite ter različnih zakonitih poti do zaščite. Četrti cilj obravnava morebitni vpliv migracij na notranjo varnost. Novembra 2023 je bila sprejeta tudi Strategija vključevanja tujcev, ki niso državljani Evropske unije, v kulturno, gospodarsko in družbeno življenje Republike Slovenije. Strategija ima kot enega od glavnih ciljev jezikovno integracijo tujcev in se odziva na zakonske spremembe glede zahtev o znanju slovenskega jezika DTD. Ukrepi sledijo usmeritvam iz strategij.</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UOIM je pristojen za nastanitev, oskrbo in vključevanje.</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Sredstva AMIF predstavljajo le del sredstev za uresničevanje zastavljenih ciljev na področju integracije in zakonitih migracij. Ta delež za UOIM znaša 80%, preostala sredstva pa bodo zagotovljena iz nacionalnih proračunskih sredstev. Nacionalna proračunska sredstva bodo namenjena predvsem za plače zaposlenih UOIM ter za stroške, povezane z integracijskima hišama ter najetimi stanovanji za osebe z mednarodno zaščito.</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Dolgoročni cilj Slovenije je vključenost DTD in oseb z mednarodno zaščito v vsa ključna področja življenja in dela. Ukrepi so usmerjeni k izboljšanju zavedanja splošne javnosti, organov in samih priseljencev o vprašanjih vključevanja ter k mednarodnem dialogu. Krepitev zmogljivosti je usmerjena k vzpostavitvi trajnostnega sodelovanja med pomembnimi deležniki, še zlasti z usposabljanji. Podpira se izboljšanje infrastrukture, storitev in bivanjskih razmer za osebe z mednarodno zaščito v integracijskih hišah, kot tudi praktično sodelovanje med državami članicami, kot na primer izmenjava dobrih praks in informacij, študijski obiski in sodelovanje na konferencah, ter izdelava analiz, vrednotenj in izboljšav trenutnih mehanizmov in pristopov vključevanja.</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Izvajal se bo izvedbeni ukrep 2d iz Priloge II.</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Pričakovani rezultati: S pomočjo teh aktivnosti bo Slovenija zagotavljala uveljavljanje vseh pravic oseb z mednarodno zaščito in začasno zaščito, ki jim bodo olajšale in pospešile vključevanje v slovensko družbo ter učinkovite integracijske aktivnosti za DTD, ki prebivajo v Sloveniji. Poleg tega bomo s pomočjo sredstev sklada zagotavljali ustrezne standarde nastanitve za vse osebe z mednarodno zaščito in začasno zaščito oziroma bivalne pogoje, ki bodo primerljivi ali boljši, kot v večini drugih držav članic EU. Glavni rezultati bodo torej učinkovita in uspešna integracija oseb z mednarodno zaščito, začasno zaščito in DTD ter brezhibno opremljena in delujoča infrastruktura nastanitev. Te aktivnosti se izvajajo tudi za potrebe izvajanja Pakta, pri čemer se bodo vzpostavile dodatne integracijske kapacitete.</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u w:val="single"/>
              </w:rPr>
              <w:t xml:space="preserve">1) Izvedbeni ukrep 2d: </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Slovenija na področju obravnave DTD in oseb z mednarodno zaščito pristopa centralizirano, zaznane pa so pomanjkljivosti pri sodelovanju, načrtovanju in izvajanju integracijskih ukrepov med ključnimi akterji na različnih ravneh (občine oziroma lokalne skupnosti se v proces integracije malo ali pa sploh ne vključujejo, večinoma so nastanitve oseb z mednarodno zaščito v Ljubljani in delno v Mariboru, želeli pa bi si večjo razpršenost, kar bi tudi olajšalo integracijo, na lokalni ravni je težko dobiti ustreznega sogovornika, zaradi nepoznavanja teme je na lokalni ravni pogosto tudi odpor do tujcev…). Hkrati se zaznava pomanjkanje strokovnega kadra in kontinuiranih usposabljanj strokovnih delavcev in deležnikov z različnih področij. Tako je pripoznana potreba po nudenju podpore lokalnim skupnostim pri soočanju z izzivi, povezanimi z migracijami. Namen je vzpostavitev partnerskega, na dejstvih temelječega pristopa, kot osnove za vodenje integracijske politike. Prizadevati si je treba za večjo in boljšo vključenost ključnih deležnikov. Izziv je tudi zagotovitev ustreznega, enakomernega, usklajenega in sistemsko urejenega razvoja lokalnih struktur v podporo vključevanja DTD v družbo. Pripoznane so še potrebe po njihovi večji in bolj aktivni vključenosti v oblikovanje in izvajanje integracijskih aktivnosti. Pri tem naj bi bili aktivnosti in ukrepi prilagojeni potrebam v lokalnem okolju. Potrebno je tudi zagotoviti zadostno število osebja in dvigniti nivo usposobljenosti strokovnih delavcev in deležnikov, tako na nivoju posameznikov, kot tudi na nivoju vladnih in nevladnih struktur.</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Skladno z zgoraj navedenim je cilj vzpostavitev upravnih struktur, sistemov in orodij ter usposabljanja osebja, vključno z lokalnimi organi in drugimi ustreznimi zainteresiranimi stranmi, kar želi Slovenija doseči s sledečimi aktivnostmi:</w:t>
            </w:r>
          </w:p>
          <w:p w:rsidR="00A77B3E">
            <w:pPr>
              <w:numPr>
                <w:ilvl w:val="0"/>
                <w:numId w:val="8"/>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Vzpostavitev koordinativnih teles na lokalni ravni z namenom prepoznavanja težav pri integraciji, iskanja ustreznih rešitev in priprave dodatnih integracijskih dejavnosti.</w:t>
            </w:r>
          </w:p>
          <w:p w:rsidR="00A77B3E">
            <w:pPr>
              <w:numPr>
                <w:ilvl w:val="0"/>
                <w:numId w:val="8"/>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Uvajanje inovativnih shem za vključevanje migrantov s poudarkom na pozitivnih praksah in lokalni ravni.</w:t>
            </w:r>
          </w:p>
          <w:p w:rsidR="00A77B3E">
            <w:pPr>
              <w:numPr>
                <w:ilvl w:val="0"/>
                <w:numId w:val="8"/>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Usposabljanje zasebnih in javnih uslužbencev z namenom pridobivanja medkulturnih kompetenc, posebnih znanj in supervizije za strokovne delavce.</w:t>
            </w:r>
          </w:p>
          <w:p w:rsidR="00A77B3E">
            <w:pPr>
              <w:numPr>
                <w:ilvl w:val="0"/>
                <w:numId w:val="8"/>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Usposabljanje v okviru tima predstavnikov kompetentnih služb in ustanov na lokalnem nivoju.</w:t>
            </w:r>
          </w:p>
          <w:p w:rsidR="00A77B3E">
            <w:pPr>
              <w:numPr>
                <w:ilvl w:val="0"/>
                <w:numId w:val="8"/>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Strokovni obiski sodelavcev iz posameznih področij, v druge države članice z namenom izmenjave izkušenj, ogleda dobrih praks ter prenosa le-teh v lokalno okolje znotraj obstoječih zakonodajnih okvirov.</w:t>
            </w:r>
          </w:p>
          <w:p w:rsidR="00A77B3E">
            <w:pPr>
              <w:numPr>
                <w:ilvl w:val="0"/>
                <w:numId w:val="8"/>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Izvajanje konkretnih programov (predvsem na lokalni ravni) za vključevanje, ki temeljijo na primeru dobrih praks v tujini ali pa pilotnih programov, zasnovanih za konkretno kategorijo oseb (ali za osebe za mednarodno zaščito ali tujce iz tretjih držav ali kombinirano).</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Bistveni del in izziv migracijskega sistema je vključevanje migrantov v slovensko družbo. Pomoč pri vključevanju opremlja migrante z znanji in veščinami ter povečuje možnosti za enakopravno sodelovanje v družbi sprejema, hkrati pa daje občutek pripadnosti in sprejetosti. Med ukrepi vključevanja so ključni dostopni programi učenja jezika in spoznavanja družbe za DTD, programi medkulturnega dialoga in ozaveščanja širše javnosti o pomenu migracij kot o dejavniku spodbujanja razvoja. Zakon o tujcih je bil noveliran leta 2021 in 2023. Z zakonskimi spremembami se je povečala motivacija DTD do vključevanja v programe učenja jezika in do opravljanja preizkusov znanja in s tem število udeležencev, ki koristijo te pravice. Znanje slovenskega jezika je temeljnega pomena za vključevanje na trg dela in tudi pogoj za nadaljnje izobraževanje.</w:t>
            </w:r>
          </w:p>
          <w:p w:rsidR="00A77B3E">
            <w:pPr>
              <w:numPr>
                <w:ilvl w:val="0"/>
                <w:numId w:val="9"/>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Zagotavljanje informacij: programi informiranja DTD so bistvenega pomena pri zagotavljanju uspešnih pogojev za boljše in učinkovitejše vključevanje DTD v slovensko družbo. Informacije o življenju v Sloveniji in integracijskih ukrepih ter možnostih pomoči za uspešnejše vključevanje, bodo zagotovljene z nadaljevanjem in nadgradnjo spletnega mesta www.infotujci.si, in preko drugih sodobnih prilagojenih oblik komuniciranja. Eden ključnih izzivov je vzpostavitev učinkovitega, odzivnega in uporabniku prilagojenega večjezičnega servisa, s ciljem želene integracije, vključno s sodobnimi in prilagojenimi oblikami komuniciranja.</w:t>
            </w:r>
          </w:p>
          <w:p w:rsidR="00A77B3E">
            <w:pPr>
              <w:numPr>
                <w:ilvl w:val="0"/>
                <w:numId w:val="9"/>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Tečaji in izpiti slovenskega jezika: S programom učenja slovenskega jezika in spoznavanja slovenske družbe se zagotavlja osnovno znanje jezika in poznavanje družbe gostiteljice, kar je nujno potrebno za uspešno vključevanje DTD v slovensko družbo. Opravljanje preizkusa znanja iz slovenskega jezika na osnovni ravni pomeni zaključek procesa učenja slovenskega jezika na osnovni ravni, ki je potrebna za sprejem v državljanstvo RS.</w:t>
            </w:r>
          </w:p>
          <w:p w:rsidR="00A77B3E">
            <w:pPr>
              <w:numPr>
                <w:ilvl w:val="0"/>
                <w:numId w:val="9"/>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Medkulturni dialog: Nadaljevati z različnimi aktivnostmi, ki spodbujajo medkulturni dialog in omogočajo večjo povezanost DTD z državo gostiteljico.</w:t>
            </w:r>
          </w:p>
          <w:p w:rsidR="00A77B3E">
            <w:pPr>
              <w:numPr>
                <w:ilvl w:val="0"/>
                <w:numId w:val="9"/>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Ozaveščanje DTD o vključevanju v slovensko družbo: Programi seznanitve s slovensko kulturo, načinom življenja ter temeljnimi vrednotami ter programi seznanitve z dolžnostmi in upravičenimi pričakovanji države gostiteljice.</w:t>
            </w:r>
          </w:p>
          <w:p w:rsidR="00A77B3E">
            <w:pPr>
              <w:numPr>
                <w:ilvl w:val="0"/>
                <w:numId w:val="9"/>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Programi za ozaveščanje slovenske družbe o migrantski tematiki.</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Usmerimo se na izvajanje ukrepov za zgodnje vključevanje (npr. prilagojena podpora glede na potrebe DTD in programi vključevanja, ki se osredotočajo na izobraževanje, jezik in druga usposabljanja, kot so tečaji državljanske vzgoje in poklicno svetovanje), ki jih je potrebno izboljšati in okrepiti. Predvidene aktivnosti so:</w:t>
            </w:r>
          </w:p>
          <w:p w:rsidR="00A77B3E">
            <w:pPr>
              <w:numPr>
                <w:ilvl w:val="0"/>
                <w:numId w:val="10"/>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Programi predpriprave na vključevanje v izobraževalni sistem v obliki opismenjevanja in učne pomoči za odrasle, ki se želijo vključiti v izobraževalni sistem (npr. šole za odrasle).</w:t>
            </w:r>
          </w:p>
          <w:p w:rsidR="00A77B3E">
            <w:pPr>
              <w:numPr>
                <w:ilvl w:val="0"/>
                <w:numId w:val="10"/>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Priprava in izdelava ustreznih gradiv in didaktičnih pripomočkov za posredovanje informacij, prilagojenih tudi otrokom in mladini, saj je zaznati pomanjkanje izvajanja integracijskih aktivnosti za ciljne skupine ter težave pri razumevanju in vključevanju na različna družbena področja (kulturne razlike).</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Osebe z mednarodno zaščito se v Republiki Sloveniji soočajo tudi s pomanjkanjem izvajanja integracijskih aktivnosti in težavami pri razumevanju in vključevanju na različna družbena področja, zaradi velikih kulturnih razlik. Izziv je torej zagotovitev doseganja osnovnih kompetenc za polno vključitev v družbo, kar nameravamo doseči s sledečimi aktivnostmi:</w:t>
            </w:r>
          </w:p>
          <w:p w:rsidR="00A77B3E">
            <w:pPr>
              <w:numPr>
                <w:ilvl w:val="0"/>
                <w:numId w:val="11"/>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Programi spoznavanja in uporabe različnih sistemov, lokalnega okolja in kulturnih značilnosti - pomoč pri integraciji z izvedbo orientacijskega programa za osebe z mednarodno zaščito.</w:t>
            </w:r>
          </w:p>
          <w:p w:rsidR="00A77B3E">
            <w:pPr>
              <w:numPr>
                <w:ilvl w:val="0"/>
                <w:numId w:val="11"/>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Zagotavljanje denarnih nadomestil za nastanitev na zasebnem naslovu in premostitvene pomoči v materialni obliki za obdobje od prejema statusa mednarodne zaščite do začetka prejemanja sistemske pomoči.</w:t>
            </w:r>
          </w:p>
          <w:p w:rsidR="00A77B3E">
            <w:pPr>
              <w:numPr>
                <w:ilvl w:val="0"/>
                <w:numId w:val="11"/>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Zagotavljanje ustreznih bivalnih pogojev v integracijskih hišah in drugih kapacitetah UOIM (nakup potrebne opreme, morebitna sanacijska dela).</w:t>
            </w:r>
          </w:p>
          <w:p w:rsidR="00A77B3E">
            <w:pPr>
              <w:numPr>
                <w:ilvl w:val="0"/>
                <w:numId w:val="11"/>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Zagotavljanje ustrezne specialistične in druge strokovne obravnave ali pomoči (družinska terapija, nenasilna komunikacija, psihoterapija...).</w:t>
            </w:r>
          </w:p>
          <w:p w:rsidR="00A77B3E">
            <w:pPr>
              <w:numPr>
                <w:ilvl w:val="0"/>
                <w:numId w:val="11"/>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Aktivnosti za ženske (opolnomočenje, predavanja, delavnice).</w:t>
            </w:r>
          </w:p>
          <w:p w:rsidR="00A77B3E">
            <w:pPr>
              <w:numPr>
                <w:ilvl w:val="0"/>
                <w:numId w:val="11"/>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Aktivnosti za spodbujanje socializacije otrok in mladine (učna pomoč, šport, delavnice…),</w:t>
            </w:r>
          </w:p>
          <w:p w:rsidR="00A77B3E">
            <w:pPr>
              <w:numPr>
                <w:ilvl w:val="0"/>
                <w:numId w:val="11"/>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Zagotavljanje sredstev za nakup šolskih potrebščin.</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Še enega izmed ključnih izzivov pa predstavlja hitrejša in učinkovitejša integracija posameznikov v lokalno okolje ter na trg dela. Trenutno je zaznati pomanjkljivo načrtovanje in izvajanje integracijskih aktivnosti za vsakega posameznika, zaradi ne-vključenosti vseh relevantnih in kompetentnih deležnikov. Skladno s tem načrtujemo izvedbo naslednjih aktivnosti:</w:t>
            </w:r>
          </w:p>
          <w:p w:rsidR="00A77B3E">
            <w:pPr>
              <w:numPr>
                <w:ilvl w:val="0"/>
                <w:numId w:val="12"/>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Pilotna vzpostavitev tima predstavnikov kompetentnih služb in ustanov na lokalnem nivoju za pripravo, izvedbo in evalvacijo integracijskih aktivnostih. Mednje sodijo pomoč predstavnikov lokalne skupnosti pri zaposlovanju, izobraževanju in nastanitvi.</w:t>
            </w:r>
          </w:p>
          <w:p w:rsidR="00A77B3E">
            <w:pPr>
              <w:numPr>
                <w:ilvl w:val="0"/>
                <w:numId w:val="12"/>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Pilotna postavitev dvoletne operacije v sodelovanju z lokalno skupnostjo, lokalnimi podjetji oziroma delodajalci, državnimi organi in lokalnimi NVO z namenom v prvem letu izvesti integracijski program, (tečaj slovenskega jezika, spoznavanja slovenske družbe), v dveh letih pa hkrati usposobiti osebe z mednarodno zaščito za vstop na trg dela. Evalvirati program po preteku dvoletnega obdobja, in če bo program uspešen, z njim nadaljevati.</w:t>
            </w:r>
          </w:p>
          <w:p w:rsidR="00A77B3E">
            <w:pPr>
              <w:numPr>
                <w:ilvl w:val="0"/>
                <w:numId w:val="12"/>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Preko specifičnih delavnic, tečajev ali programov omogočanje posameznikom povečati možnost za zaposlitev in seznaniti s problematiko zaposlovanja nezakonitih migrantov.</w:t>
            </w:r>
          </w:p>
          <w:p w:rsidR="00A77B3E">
            <w:pPr>
              <w:numPr>
                <w:ilvl w:val="0"/>
                <w:numId w:val="12"/>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Krepitev zavedanja migrantov o pomembnosti znanja slovenskega jezika in spretnostih za lažje vključevanje na trg dela in njihovi vlogi. Ta aktivnost se bo izvajala skozi celotno obdobje vključevanja.</w:t>
            </w:r>
          </w:p>
          <w:p w:rsidR="00A77B3E">
            <w:pPr>
              <w:numPr>
                <w:ilvl w:val="0"/>
                <w:numId w:val="12"/>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Aktivno sodelovanje UOIM in izbranih NVO pri pomoči migrantom, tako pri učni pomoči (če se izobražujejo), kot tudi pri sami govorni uporabi jezika (konverzaciji).</w:t>
            </w:r>
          </w:p>
          <w:p w:rsidR="00A77B3E">
            <w:pPr>
              <w:numPr>
                <w:ilvl w:val="0"/>
                <w:numId w:val="12"/>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Olajšanje izvajanja strokovnega dela zaposlenih z okrepitvijo mreže prevajalcev (pogodbenikov UOIM), s čimer bodo migranti postavljeni v boljši oziroma enakovrednejši položaj, saj jim bo pomoč prevajalcev v začetni fazi integracije pomagala k boljšem razumevanju, tako družbe, kot jezika in hitrejšem usposabljanju, tako na jezikovnem, kot na delovnem področju.</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V povezavi s celostnim sodelovanjem med različnimi vladnimi in nevladnimi organi, vključno s centri za usklajeno podporo vključevanju, kot so točke »vse na enem mestu«, je zaznati oslabljeno sodelovanje NVO, lokalnih skupnosti in gospodarstva pri oblikovanju in izvajanju integracijskih ukrepov, zato je potrebno okrepiti njihovo sodelovanje. Skladno s tem so načrtovane naslednje aktivnosti:</w:t>
            </w:r>
          </w:p>
          <w:p w:rsidR="00A77B3E">
            <w:pPr>
              <w:numPr>
                <w:ilvl w:val="0"/>
                <w:numId w:val="13"/>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Vzpostavitev sistemskega pristopa pri oblikovanju in izvajanju integracijskih ukrepov s posebnim poudarkom na vključevanju relevantnih NVO, lokalnih skupnosti in delodajalcev.</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Ker je zaznati tudi razpršenost informacij, dezinformacije med ciljnimi skupinami, pomanjkanje možnosti za aktivno vključevanje, potrebo po zagotovitvi večnamenskega prostora, je cilj vzpostaviti uporabniku prijazen prostor oziroma točke z možnostjo pridobitve in uporabe različnih informacij, znanj, veščin in tehnik z namenom krepitve samoaktivacije. Aktivnost za dosego cilja je pilotna vzpostavitev informacijskega/medkulturnega središča za zagotovitev informacij s poudarkom na osebnem stiku.</w:t>
            </w:r>
          </w:p>
          <w:p w:rsidR="00A77B3E">
            <w:pPr>
              <w:numPr>
                <w:ilvl w:val="0"/>
                <w:numId w:val="14"/>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Pilotna vzpostavitev informacijskega/medkulturnega središča, ki bi predvidoma, glede na izkazan interes, dolgoročno lahko postal tudi sodoben dnevni center za migrante. Predvidena je vzpostavitev pilotne operacije v Ljubljani za obdobje dveh let, po uspešni evalvaciji (glede na št. udeležencev, smiselnost…) pa širjenje v naslednjih letih v večja slovenska mesta.</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Zgornje aktivnosti se smiselno izvajajo tudi za potrebe Pakta, poleg tega bo izvedena vzpostavitev dodatnih integracijskih kapacitet z najemom kapacitete. Namen operacije je povečati kapacitete integracijskih hiš, torej namestitev, ki bi jih osebe z mednarodno zaščito lahko koristile takoj po pridobitvi statusa mednarodne zaščite in še nadalje omogočati delovanje že vzpostavljenih kapacitet, katere ima UOIM deloma v lasti, deloma v najemu. Cilj je, poleg povečanja kapacitete za osebe s priznano mednarodno zaščito za dodatnih 100 postelj, torej skupno zagotavljanje kapacitet za 150 oseb, zagotoviti tudi dodatno podporo osebam z mednarodno zaščito z zaposlitvijo dodatnih svetovalcev za integracijo.</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 xml:space="preserve">2) </w:t>
            </w:r>
            <w:r>
              <w:rPr>
                <w:rFonts w:ascii="TimesNewRoman" w:eastAsia="TimesNewRoman" w:hAnsi="TimesNewRoman" w:cs="TimesNewRoman"/>
                <w:b w:val="0"/>
                <w:i w:val="0"/>
                <w:vanish w:val="0"/>
                <w:color w:val="000000"/>
                <w:sz w:val="24"/>
                <w:u w:val="single"/>
              </w:rPr>
              <w:t>Operativna podpora:</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V okviru SO2 operativna podpora glede spodbujanja ukrepov za zgodnje vključevanje DTD zajema stroške zaposlenih, stroške storitev, kot je vzdrževanje ali zamenjava opreme ter stroške storitev, kot sta vzdrževanje in popravilo infrastrukture. Da se bo lahko integracija oziroma pomoč pri integraciji izvajala intenzivno in v želenem obsegu, so v veliko pomoč sredstva sklada. Vezano na izvajanje Pakta bo operativna podpora uporabljena za stroške plač zaposlenih ter vzdrževanje prostorov in opreme.</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Na podlagi ZMZ, ki določa obseg pravic in dolžnosti oseb, ki jim je priznana mednarodna zaščita, UOIM izvaja postopke mednarodne zaščite in vse aktivnosti, povezane z osebami s priznano mednarodno zaščito. Poleg tega Zakon o tujcih določa UOIM kot pristojnega za informiranje o pogojih, pravicah, dolžnostih tujcev v RS.</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Stroški bodo vezani na stroške obstoječih zaposlenih, ki skrbijo za integracijo oseb z mednarodno zaščito, začasno zaščito ter DTD. Integracijski hiši v Ljubljani in Mariboru potrebujeta nenehno vzdrževanje, potrebno pa je financirati tudi stroške, ki so vezani na zamenjavo dotrajane opreme. Prav tako bo del stroškov vezan na pomoč pri izvajanju integracijskih aktivnosti za DTD, ki ravno tako kot osebe z mednarodno zaščito in začasno zaščito potrebujejo pomoč pri integraciji v slovensko družbo.</w:t>
            </w:r>
          </w:p>
          <w:p w:rsidR="00A77B3E">
            <w:pPr>
              <w:spacing w:before="100" w:after="0"/>
              <w:jc w:val="left"/>
              <w:rPr>
                <w:rFonts w:ascii="TimesNewRoman" w:eastAsia="TimesNewRoman" w:hAnsi="TimesNewRoman" w:cs="TimesNewRoman"/>
                <w:b w:val="0"/>
                <w:i w:val="0"/>
                <w:vanish w:val="0"/>
                <w:color w:val="000000"/>
                <w:sz w:val="6"/>
              </w:rPr>
            </w:pPr>
          </w:p>
          <w:p w:rsidR="00A77B3E">
            <w:pPr>
              <w:spacing w:before="100" w:after="0"/>
              <w:jc w:val="left"/>
              <w:rPr>
                <w:rFonts w:ascii="TimesNewRoman" w:eastAsia="TimesNewRoman" w:hAnsi="TimesNewRoman" w:cs="TimesNewRoman"/>
                <w:b w:val="0"/>
                <w:i w:val="0"/>
                <w:vanish w:val="0"/>
                <w:color w:val="000000"/>
                <w:sz w:val="6"/>
              </w:rPr>
            </w:pPr>
          </w:p>
        </w:tc>
      </w:tr>
    </w:tbl>
    <w:p w:rsidR="00A77B3E">
      <w:pPr>
        <w:spacing w:before="100" w:after="0"/>
        <w:jc w:val="left"/>
        <w:rPr>
          <w:rFonts w:ascii="TimesNewRoman" w:eastAsia="TimesNewRoman" w:hAnsi="TimesNewRoman" w:cs="TimesNewRoman"/>
          <w:b w:val="0"/>
          <w:i w:val="0"/>
          <w:vanish w:val="0"/>
          <w:color w:val="000000"/>
          <w:sz w:val="2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orient="portrait"/>
          <w:pgMar w:top="720" w:right="936" w:bottom="864" w:left="720" w:header="0" w:footer="72" w:gutter="0"/>
          <w:cols w:space="708"/>
          <w:noEndnote/>
          <w:docGrid w:linePitch="360"/>
        </w:sectPr>
      </w:pPr>
    </w:p>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2.1. Specifični cilj 2. Zakonite migracije in vključevanje</w:t>
      </w:r>
    </w:p>
    <w:p w:rsidR="00A77B3E">
      <w:pPr>
        <w:pStyle w:val="Heading3"/>
        <w:spacing w:before="100" w:after="0"/>
        <w:jc w:val="left"/>
        <w:rPr>
          <w:rFonts w:ascii="Times New Roman" w:eastAsia="Times New Roman" w:hAnsi="Times New Roman" w:cs="Times New Roman"/>
          <w:b w:val="0"/>
          <w:i w:val="0"/>
          <w:vanish w:val="0"/>
          <w:color w:val="000000"/>
          <w:sz w:val="24"/>
        </w:rPr>
      </w:pPr>
      <w:bookmarkStart w:id="11" w:name="_Toc256000074"/>
      <w:r>
        <w:rPr>
          <w:rFonts w:ascii="Times New Roman" w:eastAsia="Times New Roman" w:hAnsi="Times New Roman" w:cs="Times New Roman"/>
          <w:b w:val="0"/>
          <w:i w:val="0"/>
          <w:vanish w:val="0"/>
          <w:color w:val="000000"/>
          <w:sz w:val="24"/>
        </w:rPr>
        <w:t>2.1.2. Kazalniki</w:t>
      </w:r>
      <w:bookmarkEnd w:id="11"/>
    </w:p>
    <w:p w:rsidR="00A77B3E">
      <w:pPr>
        <w:spacing w:before="100" w:after="0"/>
        <w:jc w:val="left"/>
        <w:rPr>
          <w:rFonts w:ascii="Times New Roman" w:eastAsia="Times New Roman" w:hAnsi="Times New Roman" w:cs="Times New Roman"/>
          <w:b w:val="0"/>
          <w:i w:val="0"/>
          <w:vanish w:val="0"/>
          <w:color w:val="000000"/>
          <w:sz w:val="12"/>
        </w:rPr>
      </w:pPr>
      <w:r>
        <w:rPr>
          <w:rFonts w:ascii="Times New Roman" w:eastAsia="Times New Roman" w:hAnsi="Times New Roman" w:cs="Times New Roman"/>
          <w:b w:val="0"/>
          <w:i w:val="0"/>
          <w:vanish w:val="0"/>
          <w:color w:val="000000"/>
          <w:sz w:val="24"/>
        </w:rPr>
        <w:t>Sklic: člen 22(4)(e) uredbe o skupnih določbah</w:t>
      </w:r>
    </w:p>
    <w:p w:rsidR="00A77B3E">
      <w:pPr>
        <w:pStyle w:val="Heading4"/>
        <w:spacing w:before="100" w:after="0"/>
        <w:jc w:val="left"/>
        <w:rPr>
          <w:rFonts w:ascii="Times New Roman" w:eastAsia="Times New Roman" w:hAnsi="Times New Roman" w:cs="Times New Roman"/>
          <w:b w:val="0"/>
          <w:i w:val="0"/>
          <w:vanish w:val="0"/>
          <w:color w:val="000000"/>
          <w:sz w:val="24"/>
        </w:rPr>
      </w:pPr>
      <w:bookmarkStart w:id="12" w:name="_Toc256000075"/>
      <w:r>
        <w:rPr>
          <w:rFonts w:ascii="Times New Roman" w:eastAsia="Times New Roman" w:hAnsi="Times New Roman" w:cs="Times New Roman"/>
          <w:b w:val="0"/>
          <w:i w:val="0"/>
          <w:vanish w:val="0"/>
          <w:color w:val="000000"/>
          <w:sz w:val="24"/>
        </w:rPr>
        <w:t>Tabela 1: Kazalniki učinka</w:t>
      </w:r>
      <w:bookmarkEnd w:id="12"/>
    </w:p>
    <w:p w:rsidR="00A77B3E">
      <w:pPr>
        <w:spacing w:before="100" w:after="0"/>
        <w:jc w:val="left"/>
        <w:rPr>
          <w:rFonts w:ascii="Times New Roman" w:eastAsia="Times New Roman" w:hAnsi="Times New Roman" w:cs="Times New 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355"/>
        <w:gridCol w:w="9727"/>
        <w:gridCol w:w="1455"/>
        <w:gridCol w:w="1550"/>
        <w:gridCol w:w="1215"/>
      </w:tblGrid>
      <w:tr>
        <w:tblPrEx>
          <w:tblW w:w="5000" w:type="pct"/>
        </w:tblPrEx>
        <w:trPr>
          <w:cantSplit w:val="0"/>
          <w:trHeight w:hRule="auto" w:val="0"/>
          <w:tblHeader/>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Identifikator</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Kazalnik</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Mejnik (2024)</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Cilj (2029)</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O.2.1</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 xml:space="preserve">Število udeležencev v ukrepih pred odhodom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O.2.2</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lokalnih in regionalnih organov, ki so prejeli podporo za izvajanje ukrepov za vključevanje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3</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12</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O.2.3</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udeležencev, ki so prejeli podporo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5.040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28.565</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O.2.3.1</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od tega število udeležencev jezikovnega tečaja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4.800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17.350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O.2.3.2</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od tega število udeležencev tečaja državljanske vzgoje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90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350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O.2.3.3</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od tega število udeležencev, ki so prejeli osebno poklicno svetovanje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150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450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O.2.4</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informacijskih svežnjev in kampanj za ozaveščanje o zakonitih migracijskih poteh v Unijo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O.2.5</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udeležencev, ki so prejeli informacije in/ali pomoč pri vložitvi prošnje za združitev družine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O.2.6</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udeležencev, ki so upravičeni do programov mobilnosti</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O.2.7</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projektov vključevanja, v okviru katerih so upravičenci lokalni in regionalni organi</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10</w:t>
            </w:r>
          </w:p>
        </w:tc>
      </w:tr>
    </w:tbl>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0"/>
        </w:rPr>
        <w:br w:type="page"/>
      </w:r>
      <w:r>
        <w:rPr>
          <w:rFonts w:ascii="Times New Roman" w:eastAsia="Times New Roman" w:hAnsi="Times New Roman" w:cs="Times New Roman"/>
          <w:b w:val="0"/>
          <w:i w:val="0"/>
          <w:vanish w:val="0"/>
          <w:color w:val="000000"/>
          <w:sz w:val="24"/>
        </w:rPr>
        <w:t>2.1. Specifični cilj 2. Zakonite migracije in vključevanje</w:t>
      </w:r>
    </w:p>
    <w:p w:rsidR="00A77B3E">
      <w:pPr>
        <w:spacing w:before="100" w:after="0"/>
        <w:jc w:val="left"/>
        <w:rPr>
          <w:rFonts w:ascii="Times New Roman" w:eastAsia="Times New Roman" w:hAnsi="Times New Roman" w:cs="Times New Roman"/>
          <w:b w:val="0"/>
          <w:i w:val="0"/>
          <w:vanish w:val="0"/>
          <w:color w:val="000000"/>
          <w:sz w:val="0"/>
        </w:rPr>
      </w:pPr>
      <w:r>
        <w:rPr>
          <w:rFonts w:ascii="Times New Roman" w:eastAsia="Times New Roman" w:hAnsi="Times New Roman" w:cs="Times New Roman"/>
          <w:b w:val="0"/>
          <w:i w:val="0"/>
          <w:vanish w:val="0"/>
          <w:color w:val="000000"/>
          <w:sz w:val="24"/>
        </w:rPr>
        <w:t>2.1.2. Kazalniki</w:t>
      </w:r>
    </w:p>
    <w:p w:rsidR="00A77B3E">
      <w:pPr>
        <w:spacing w:before="100" w:after="0"/>
        <w:jc w:val="left"/>
        <w:rPr>
          <w:rFonts w:ascii="Times New Roman" w:eastAsia="Times New Roman" w:hAnsi="Times New Roman" w:cs="Times New Roman"/>
          <w:b w:val="0"/>
          <w:i w:val="0"/>
          <w:vanish w:val="0"/>
          <w:color w:val="000000"/>
          <w:sz w:val="12"/>
        </w:rPr>
      </w:pPr>
      <w:r>
        <w:rPr>
          <w:rFonts w:ascii="Times New Roman" w:eastAsia="Times New Roman" w:hAnsi="Times New Roman" w:cs="Times New Roman"/>
          <w:b w:val="0"/>
          <w:i w:val="0"/>
          <w:vanish w:val="0"/>
          <w:color w:val="000000"/>
          <w:sz w:val="24"/>
        </w:rPr>
        <w:t>Sklic: člen 22(4)(e) uredbe o skupnih določbah</w:t>
      </w:r>
    </w:p>
    <w:p w:rsidR="00A77B3E">
      <w:pPr>
        <w:pStyle w:val="Heading4"/>
        <w:spacing w:before="100" w:after="0"/>
        <w:jc w:val="left"/>
        <w:rPr>
          <w:rFonts w:ascii="Times New Roman" w:eastAsia="Times New Roman" w:hAnsi="Times New Roman" w:cs="Times New Roman"/>
          <w:b w:val="0"/>
          <w:i w:val="0"/>
          <w:vanish w:val="0"/>
          <w:color w:val="000000"/>
          <w:sz w:val="24"/>
        </w:rPr>
      </w:pPr>
      <w:bookmarkStart w:id="13" w:name="_Toc256000076"/>
      <w:r>
        <w:rPr>
          <w:rFonts w:ascii="Times New Roman" w:eastAsia="Times New Roman" w:hAnsi="Times New Roman" w:cs="Times New Roman"/>
          <w:b w:val="0"/>
          <w:i w:val="0"/>
          <w:vanish w:val="0"/>
          <w:color w:val="000000"/>
          <w:sz w:val="24"/>
        </w:rPr>
        <w:t>Tabela 2: Kazalniki rezultatov</w:t>
      </w:r>
      <w:bookmarkEnd w:id="13"/>
    </w:p>
    <w:p w:rsidR="00A77B3E">
      <w:pPr>
        <w:spacing w:before="100" w:after="0"/>
        <w:jc w:val="left"/>
        <w:rPr>
          <w:rFonts w:ascii="Times New Roman" w:eastAsia="Times New Roman" w:hAnsi="Times New Roman" w:cs="Times New 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760"/>
        <w:gridCol w:w="2276"/>
        <w:gridCol w:w="1517"/>
        <w:gridCol w:w="1517"/>
        <w:gridCol w:w="1517"/>
        <w:gridCol w:w="1517"/>
        <w:gridCol w:w="1517"/>
        <w:gridCol w:w="1517"/>
        <w:gridCol w:w="1517"/>
        <w:gridCol w:w="1517"/>
      </w:tblGrid>
      <w:tr>
        <w:tblPrEx>
          <w:tblW w:w="5000" w:type="pct"/>
          <w:tblLayout w:type="fixed"/>
        </w:tblPrEx>
        <w:trPr>
          <w:cantSplit w:val="0"/>
          <w:trHeight w:hRule="auto" w:val="0"/>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Identifikator</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Kazalnik</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Izhodišče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 za izhodišče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Referenčna leta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Cilj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 za cilj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Vir podatkov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Opombe</w:t>
            </w: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R.2.8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udeležencev jezikovnih tečajev, ki so po koncu tečaja izboljšali raven svojega znanja jezika države gostiteljice vsaj za eno stopnjo glede na skupni evropski referenčni okvir za jezike ali enakovreden nacionalni okvir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delež</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Evidence, poročila in ankete jezikovnih šol; interne evidence UOIM o izvedenih usposabljanjih; letno poročilo UOIM.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R.2.9</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udeležencev, ki poročajo, da je bila dejavnost koristna za njihovo vključevanje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delež</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15.340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Evidence, poročila in ankete jezikovnih šol; interne evidence UOIM o izvedenih usposabljanjih; letno poročilo UOIM.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R.2.10</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udeležencev, ki so zaprosili za priznanje/ocenjevanje svojih kvalifikacij ali znanj in spretnosti, pridobljenih v tretji državi</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50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Interne evidence UOIM o naročenih sodnih prevodih diplom/ spričeval.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R.2.11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udeležencev, ki so zaprosili za dolgoročni status rezidenta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Interne evidence UOIM.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tc>
      </w:tr>
    </w:tbl>
    <w:p w:rsidR="00A77B3E">
      <w:pPr>
        <w:spacing w:before="100" w:after="0"/>
        <w:jc w:val="left"/>
        <w:rPr>
          <w:rFonts w:ascii="Times New Roman" w:eastAsia="Times New Roman" w:hAnsi="Times New Roman" w:cs="Times New Roman"/>
          <w:b w:val="0"/>
          <w:i w:val="0"/>
          <w:vanish w:val="0"/>
          <w:color w:val="000000"/>
          <w:sz w:val="20"/>
        </w:rPr>
        <w:sectPr>
          <w:headerReference w:type="even" r:id="rId34"/>
          <w:headerReference w:type="default" r:id="rId35"/>
          <w:footerReference w:type="even" r:id="rId36"/>
          <w:footerReference w:type="default" r:id="rId37"/>
          <w:headerReference w:type="first" r:id="rId38"/>
          <w:footerReference w:type="first" r:id="rId39"/>
          <w:type w:val="nextPage"/>
          <w:pgSz w:w="16838" w:h="11906" w:orient="landscape"/>
          <w:pgMar w:top="720" w:right="720" w:bottom="864" w:left="936" w:header="288" w:footer="72" w:gutter="0"/>
          <w:cols w:space="708"/>
          <w:noEndnote/>
          <w:docGrid w:linePitch="360"/>
        </w:sectPr>
      </w:pPr>
    </w:p>
    <w:p w:rsidR="00A77B3E">
      <w:pPr>
        <w:spacing w:before="100" w:after="0"/>
        <w:jc w:val="left"/>
        <w:rPr>
          <w:rFonts w:ascii="Times New Roman" w:eastAsia="Times New Roman" w:hAnsi="Times New Roman" w:cs="Times New Roman"/>
          <w:b w:val="0"/>
          <w:i w:val="0"/>
          <w:vanish w:val="0"/>
          <w:color w:val="000000"/>
          <w:sz w:val="0"/>
        </w:rPr>
      </w:pPr>
      <w:r>
        <w:rPr>
          <w:rFonts w:ascii="Times New Roman" w:eastAsia="Times New Roman" w:hAnsi="Times New Roman" w:cs="Times New Roman"/>
          <w:b w:val="0"/>
          <w:i w:val="0"/>
          <w:vanish w:val="0"/>
          <w:color w:val="000000"/>
          <w:sz w:val="24"/>
        </w:rPr>
        <w:t>2.1. Specifični cilj 2. Zakonite migracije in vključevanje</w:t>
      </w:r>
    </w:p>
    <w:p w:rsidR="00A77B3E">
      <w:pPr>
        <w:pStyle w:val="Heading3"/>
        <w:spacing w:before="100" w:after="0"/>
        <w:jc w:val="left"/>
        <w:rPr>
          <w:rFonts w:ascii="Times New Roman" w:eastAsia="Times New Roman" w:hAnsi="Times New Roman" w:cs="Times New Roman"/>
          <w:b w:val="0"/>
          <w:i w:val="0"/>
          <w:vanish w:val="0"/>
          <w:color w:val="000000"/>
          <w:sz w:val="24"/>
        </w:rPr>
      </w:pPr>
      <w:bookmarkStart w:id="14" w:name="_Toc256000077"/>
      <w:r>
        <w:rPr>
          <w:rFonts w:ascii="Times New Roman" w:eastAsia="Times New Roman" w:hAnsi="Times New Roman" w:cs="Times New Roman"/>
          <w:b w:val="0"/>
          <w:i w:val="0"/>
          <w:vanish w:val="0"/>
          <w:color w:val="000000"/>
          <w:sz w:val="24"/>
        </w:rPr>
        <w:t>2.1.3. Okvirna razčlenitev programskih sredstev (EU) po vrsti ukrepa</w:t>
      </w:r>
      <w:bookmarkEnd w:id="14"/>
    </w:p>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Sklic: člen 22(5) uredbe o skupnih določbah, člen 16(2) uredbe o AMIF, člen 13(12) uredbe o SNV ali člen 13(18) uredbe o IUMV</w:t>
      </w:r>
    </w:p>
    <w:p w:rsidR="00A77B3E">
      <w:pPr>
        <w:pStyle w:val="Heading4"/>
        <w:spacing w:before="100" w:after="0"/>
        <w:jc w:val="left"/>
        <w:rPr>
          <w:rFonts w:ascii="Times New Roman" w:eastAsia="Times New Roman" w:hAnsi="Times New Roman" w:cs="Times New Roman"/>
          <w:b w:val="0"/>
          <w:i w:val="0"/>
          <w:vanish w:val="0"/>
          <w:color w:val="000000"/>
          <w:sz w:val="24"/>
        </w:rPr>
      </w:pPr>
      <w:bookmarkStart w:id="15" w:name="_Toc256000078"/>
      <w:r>
        <w:rPr>
          <w:rFonts w:ascii="Times New Roman" w:eastAsia="Times New Roman" w:hAnsi="Times New Roman" w:cs="Times New Roman"/>
          <w:b w:val="0"/>
          <w:i w:val="0"/>
          <w:vanish w:val="0"/>
          <w:color w:val="000000"/>
          <w:sz w:val="24"/>
        </w:rPr>
        <w:t>Tabela 3: Okvirna razčlenitev</w:t>
      </w:r>
      <w:bookmarkEnd w:id="15"/>
    </w:p>
    <w:p w:rsidR="00A77B3E">
      <w:pPr>
        <w:spacing w:before="100" w:after="0"/>
        <w:jc w:val="left"/>
        <w:rPr>
          <w:rFonts w:ascii="Times New Roman" w:eastAsia="Times New Roman" w:hAnsi="Times New Roman" w:cs="Times New 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578"/>
        <w:gridCol w:w="9799"/>
        <w:gridCol w:w="2925"/>
      </w:tblGrid>
      <w:tr>
        <w:tblPrEx>
          <w:tblW w:w="5000" w:type="pct"/>
        </w:tblPrEx>
        <w:trPr>
          <w:cantSplit w:val="0"/>
          <w:trHeight w:hRule="auto" w:val="0"/>
          <w:tblHeader/>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Vrsta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Oznaka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Okvirni znesek (v EUR)</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001.Razvoj strategij vključevanja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264.800,00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002.Žrtve trgovine z ljudmi</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003.Ukrepi za vključevanje – informiranje in usmerjanje, točke „vse na enem mestu“</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1.488.750,00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004.Ukrepi za vključevanje – jezikovno usposabljanje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10.572.071,75</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005.Ukrepi za vključevanje – državljanska vzgoja in druga usposabljanja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262.500,00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006.Ukrepi za vključevanje – uvajanje, udeležba in stiki z družbo gostiteljico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1.567.000,00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007.Ukrepi za vključevanje – osnovne potrebe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2.733.195,04</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008.Ukrepi pred odhodom</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009.Programi mobilnosti</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010.Pridobitev statusa zakonitega prebivanja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011.Ranljive osebe, vključno z mladoletniki brez spremstva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012.Operativna podpora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700.000,00</w:t>
            </w:r>
          </w:p>
        </w:tc>
      </w:tr>
    </w:tbl>
    <w:p w:rsidR="00A77B3E">
      <w:pPr>
        <w:spacing w:before="100" w:after="0"/>
        <w:jc w:val="left"/>
        <w:rPr>
          <w:rFonts w:ascii="Times New Roman" w:eastAsia="Times New Roman" w:hAnsi="Times New Roman" w:cs="Times New Roman"/>
          <w:b w:val="0"/>
          <w:i w:val="0"/>
          <w:vanish w:val="0"/>
          <w:color w:val="000000"/>
          <w:sz w:val="20"/>
        </w:rPr>
        <w:sectPr>
          <w:type w:val="nextPage"/>
          <w:pgSz w:w="16838" w:h="11906" w:orient="landscape"/>
          <w:pgMar w:top="720" w:right="720" w:bottom="864" w:left="936" w:header="288" w:footer="72" w:gutter="0"/>
          <w:cols w:space="708"/>
          <w:noEndnote/>
          <w:docGrid w:linePitch="360"/>
        </w:sectPr>
      </w:pPr>
    </w:p>
    <w:p w:rsidR="00A77B3E">
      <w:pPr>
        <w:pStyle w:val="Heading2"/>
        <w:spacing w:before="100" w:after="0"/>
        <w:jc w:val="left"/>
        <w:rPr>
          <w:rFonts w:ascii="TimesNewRoman" w:eastAsia="TimesNewRoman" w:hAnsi="TimesNewRoman" w:cs="TimesNewRoman"/>
          <w:b w:val="0"/>
          <w:i w:val="0"/>
          <w:vanish w:val="0"/>
          <w:color w:val="000000"/>
          <w:sz w:val="24"/>
        </w:rPr>
      </w:pPr>
      <w:bookmarkStart w:id="16" w:name="_Toc256000079"/>
      <w:r>
        <w:rPr>
          <w:rFonts w:ascii="TimesNewRoman" w:eastAsia="TimesNewRoman" w:hAnsi="TimesNewRoman" w:cs="TimesNewRoman"/>
          <w:b w:val="0"/>
          <w:i w:val="0"/>
          <w:vanish w:val="0"/>
          <w:color w:val="000000"/>
          <w:sz w:val="24"/>
        </w:rPr>
        <w:t>2.1. Specifični cilj: 3. Vrnitev</w:t>
      </w:r>
      <w:bookmarkEnd w:id="16"/>
    </w:p>
    <w:p w:rsidR="00A77B3E">
      <w:pPr>
        <w:spacing w:before="100" w:after="0"/>
        <w:jc w:val="left"/>
        <w:rPr>
          <w:rFonts w:ascii="TimesNewRoman" w:eastAsia="TimesNewRoman" w:hAnsi="TimesNewRoman" w:cs="TimesNewRoman"/>
          <w:b w:val="0"/>
          <w:i w:val="0"/>
          <w:vanish w:val="0"/>
          <w:color w:val="000000"/>
          <w:sz w:val="0"/>
        </w:rPr>
      </w:pPr>
    </w:p>
    <w:p w:rsidR="00A77B3E">
      <w:pPr>
        <w:pStyle w:val="Heading3"/>
        <w:spacing w:before="100" w:after="0"/>
        <w:jc w:val="left"/>
        <w:rPr>
          <w:rFonts w:ascii="TimesNewRoman" w:eastAsia="TimesNewRoman" w:hAnsi="TimesNewRoman" w:cs="TimesNewRoman"/>
          <w:b w:val="0"/>
          <w:i w:val="0"/>
          <w:vanish w:val="0"/>
          <w:color w:val="000000"/>
          <w:sz w:val="24"/>
        </w:rPr>
      </w:pPr>
      <w:bookmarkStart w:id="17" w:name="_Toc256000080"/>
      <w:r>
        <w:rPr>
          <w:rFonts w:ascii="TimesNewRoman" w:eastAsia="TimesNewRoman" w:hAnsi="TimesNewRoman" w:cs="TimesNewRoman"/>
          <w:b w:val="0"/>
          <w:i w:val="0"/>
          <w:vanish w:val="0"/>
          <w:color w:val="000000"/>
          <w:sz w:val="24"/>
        </w:rPr>
        <w:t>2.1.1. Opis specifičnega cilja</w:t>
      </w:r>
      <w:bookmarkEnd w:id="17"/>
    </w:p>
    <w:p w:rsidR="00A77B3E">
      <w:pPr>
        <w:spacing w:before="100" w:after="0"/>
        <w:jc w:val="left"/>
        <w:rPr>
          <w:rFonts w:ascii="TimesNewRoman" w:eastAsia="TimesNewRoman" w:hAnsi="TimesNewRoman" w:cs="TimesNew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0240"/>
      </w:tblGrid>
      <w:tr>
        <w:tblPrEx>
          <w:tblW w:w="5000" w:type="pct"/>
          <w:tblLayout w:type="fixed"/>
        </w:tblPrEx>
        <w:trPr>
          <w:cantSplit w:val="0"/>
          <w:trHeight w:hRule="auto" w:val="0"/>
          <w:tblHeader w:val="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0"/>
              </w:rPr>
            </w:pP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V okviru posebnega cilja SO3 je Slovenija za svoje prednostne cilje izpostavila izvajanje učinkovite politike vračanja, ki prispeva k boju proti nezakonitim migracijam, s poudarkom na prostovoljnem vračanju in trajnostnem vračanju, kot na navedenem v nadaljevanju. Ključni resor na področju politike vračanja je Policija, CT, delno tudi UOIM, doda se novi resor MNZ, Služba za evropske zadeve in mednarodno sodelovanje (SEZMS), ki bodo prejeli sredstva sklada preko neposredne dodelitve, zaradi zakonskih pristojnosti s predmetnega področja. Sredstva AMIF predstavljajo le del sredstev za uresničevanje zastavljenih ciljev na področju vračanja. Ta delež za CT znaša 31%, preostala sredstva pa bodo zagotovljena iz nacionalnih proračunskih sredstev. Nacionalna proračunska sredstva bodo namenjena predvsem za plače zaposlenih CT.</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Izvajali se bodo izvedbeni ukrepi 3a, 3b, 3c, 3d iz Priloge II in tretje alineje iz Priloge IV.</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Večina schengenskih priporočil prejšnje evalvacije, povezanih s tem ciljem, je že implementiranih ali pa se financirajo preko drugih virov. Program bo namenjen tudi obravnavi prihodnjih priporočil Schengenske evalvacije za leto 2025. UOIM preko vladnega projekta izvaja nastanitev mladoletnikov brez spremstva ter CT je preko projekta ERRIN (European Return and Reintegration Network) do leta 2022 izvajal pomoč pri prostovoljni vrnitvi in reintegraciji migrantov (AVRR - Assisted Voluntary Return and Reintegration), naloge in aktivnosti projekta je prevzel Frontex v okviru po-vrnitvenih aktivnosti in jih vodi t.i. EURP (EU Reintegration Programme), kjer sodeluje tudi SI.</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Pričakovani rezultati: Vračanje je eden od ključnih stebrov učinkovite migracijske politike. S pomočjo AMIF bomo nadgradili bivalne kapacitete CT in s tem dosegli vse standarde na področju pravic oseb, ki jim je odvzeta prostost iz razloga vračanja v domovino. Vzpodbujani bodo kvalitetni programi za prostovoljno vrnitev in reintegracijo v izvorni državi v okviru evropskih rešitev. Okrepili in nadgradili bomo tudi sodelovanje s konzularnimi predstavništvi tretjih držav z namenom povečanja zavzetosti pri potrjevanju identitete svojih državljanov in njihovem povratku v domovino. Poleg tega bomo posodobili obstoječo aplikacijo skladno z novimi smernicami idealnega modela RECAMAS in identificiranimi pomanjkljivostmi, ki so posledica sprememb postopkov na področju pridržanja in vračanja tujcev. Nadgradnja za slovensko policijo predstavlja tudi priložnost za avtomatizacijo statistične obdelave podatkov, potrebnih za poročanje, skladno z zahtevami EU, ter zagotavljanje njenega vzdrževanja, s čimer se zagotovi kontinuiteta v prihodnje.</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Navedene aktivnosti se izvajajo tudi za potrebe izvajanja Pakta, pri čemer se bodo okrepile strukture za prostovoljno vračanje, nabavila oprema za spremljevalce prisilnega vračanja in oprema, potrebna za njihovo usposabljanje, po sprejemu zakonodaje se bodo izvajale alternativne možnosti za pridržanje ter potekalo bo sodelovanje s tretjimi državami na področju migracij.</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 xml:space="preserve">1) </w:t>
            </w:r>
            <w:r>
              <w:rPr>
                <w:rFonts w:ascii="TimesNewRoman" w:eastAsia="TimesNewRoman" w:hAnsi="TimesNewRoman" w:cs="TimesNewRoman"/>
                <w:b w:val="0"/>
                <w:i w:val="0"/>
                <w:vanish w:val="0"/>
                <w:color w:val="000000"/>
                <w:sz w:val="24"/>
                <w:u w:val="single"/>
              </w:rPr>
              <w:t>Izvedbeni ukrep 3a</w:t>
            </w:r>
            <w:r>
              <w:rPr>
                <w:rFonts w:ascii="TimesNewRoman" w:eastAsia="TimesNewRoman" w:hAnsi="TimesNewRoman" w:cs="TimesNewRoman"/>
                <w:b w:val="0"/>
                <w:i w:val="0"/>
                <w:vanish w:val="0"/>
                <w:color w:val="000000"/>
                <w:sz w:val="24"/>
              </w:rPr>
              <w:t>:</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V pretekli in tudi sedanji finančni perspektivi posebno pozornost posvečamo nadgradnji infrastrukture, ki se uporablja za pridržanje DTD, ki so v postopku vračanja v domovino. Kapacitete CT omogočajo nastanitev do 180 tujcev. Nastanitveni prostori so razdeljeni na 4 oddelke, in sicer dva moška oddelka, 1 oddelek za ranljive kategorije in 1 oddelek za mladoletnike. Že v preteklih finančnih shemah smo nadgradili oziroma obnovili vitalne dele zgradbe (med katere spadajo ostrešje, zunanji toplotni ovoj zgradbe in ogrevalni sistem), poleg tega pa je bil obnovljen en moški oddelek ter sprejemni in upravni del zgradbe. Stalno pa se nadgrajujejo varnostni sistemi zgradbe (video nadzor in druga varnostna oprema). Tudi v tej finančni shemi bodo obnovljeni določeni deli zgradbe in še naprej bomo dopolnjevali sisteme za zagotavljanje varnosti. Pri obnovi in rekonstrukciji se upoštevajo priporočila nacionalnih nadzornih inštitucij, kakor tudi mednarodnih odborov in organizacij, katerih naloga je nadzor in ocena primernosti objektov za nastanitev migrantov in drugih oseb, ki jim je omejeno gibanje (npr. CPT). V času nastanitve je posebna pozornost posvečena tudi kreativni izrabi prostega časa in psihosocialne in zdravstvene oskrbe tujcev.</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Predvidene aktivnosti so:</w:t>
            </w:r>
          </w:p>
          <w:p w:rsidR="00A77B3E">
            <w:pPr>
              <w:numPr>
                <w:ilvl w:val="0"/>
                <w:numId w:val="15"/>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implementacija pravnega reda Unije, prakse in priporočil posameznih EU agencij, priporočil nadzornih inštitucij ter dobrih praks drugih držav članic glede pridržanja DTD;</w:t>
            </w:r>
          </w:p>
          <w:p w:rsidR="00A77B3E">
            <w:pPr>
              <w:numPr>
                <w:ilvl w:val="0"/>
                <w:numId w:val="15"/>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izboljšanje bivalnih pogojev v CT, za osebe, ki so v postopku vračanja, v smislu obnove, rekonstrukcije prostorov, nakupa/nadgradnje opreme in nabave ter vzdrževanja ostalih sredstev (vključno z administrativno opremo), ki so potrebna za varno in nemoteno delovanje centra;</w:t>
            </w:r>
          </w:p>
          <w:p w:rsidR="00A77B3E">
            <w:pPr>
              <w:numPr>
                <w:ilvl w:val="0"/>
                <w:numId w:val="15"/>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kritje tekočih stroškov v CT in skrb za zagotovitev ustreznih standardov glede prebivanja tujcev v CT (oprema, prehrana, oblačila, psihosocialna oskrba, prostočasne aktivnosti vključno z opremo, vozila za prevoz tujcev);</w:t>
            </w:r>
          </w:p>
          <w:p w:rsidR="00A77B3E">
            <w:pPr>
              <w:numPr>
                <w:ilvl w:val="0"/>
                <w:numId w:val="15"/>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spremljanje najboljših praks na ravni držav članic EU na področju alternativ pridržanja ter implementirati tiste metode, ki bodo zmanjševale neovirano in nezakonito prehajanje meja. Težava pri uvajanju alternativ pridržanju je, da je Slovenija za večino DTD le tranzitna država (do ciljne države). V RS sicer že obstajajo "milejši ukrepi nastanitve", ki so določeni v 81. členu Zakona o tujcih. Za potrebe izvajanja Pakta se bodo po novi zakonodaji ob implementaciji pakta izvajale alternativne možnosti pridržanja (izvajanje aplikacije za elektronsko spremljanje (90% fin.)).</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Nadaljevali bomo z vzpostavljeno prakso učinkovitega informiranja in pravnega varstva tujcem v postopkih vračanja. V prostorih, kjer potekajo uradni postopki oz. kjer so tujci nastanjeni, bo na voljo informacijski material z vsemi potrebnimi podatki za tujce, ki se znajdejo v postopku. Tujcem v postopkih vračanja bo zagotovljen dostop do informacij v zvezi s postopki vračanja in pravne pomoči ter svetovanje (tudi pri nakupu letalskih vozovnic in pridobivanju osebnih dokumentov).</w:t>
            </w:r>
          </w:p>
          <w:p w:rsidR="00A77B3E">
            <w:pPr>
              <w:spacing w:before="100" w:after="0"/>
              <w:jc w:val="left"/>
              <w:rPr>
                <w:rFonts w:ascii="TimesNewRoman" w:eastAsia="TimesNewRoman" w:hAnsi="TimesNewRoman" w:cs="TimesNewRoman"/>
                <w:b w:val="0"/>
                <w:i w:val="0"/>
                <w:vanish w:val="0"/>
                <w:color w:val="000000"/>
                <w:sz w:val="24"/>
              </w:rPr>
            </w:pPr>
            <w:r>
              <w:rPr>
                <w:rStyle w:val="Strong"/>
                <w:rFonts w:ascii="TimesNewRoman" w:eastAsia="TimesNewRoman" w:hAnsi="TimesNewRoman" w:cs="TimesNewRoman"/>
                <w:b w:val="0"/>
                <w:i w:val="0"/>
                <w:vanish w:val="0"/>
                <w:color w:val="000000"/>
                <w:sz w:val="24"/>
              </w:rPr>
              <w:t xml:space="preserve">Priporočila schengenske evalvacije v obdobju 2021-2029: </w:t>
            </w:r>
            <w:r>
              <w:rPr>
                <w:rFonts w:ascii="TimesNewRoman" w:eastAsia="TimesNewRoman" w:hAnsi="TimesNewRoman" w:cs="TimesNewRoman"/>
                <w:b w:val="0"/>
                <w:i w:val="0"/>
                <w:vanish w:val="0"/>
                <w:color w:val="000000"/>
                <w:sz w:val="24"/>
              </w:rPr>
              <w:t>SI bo uporabila fin. AMIF za zagotavljanje enotnega pravnega reda EU in za vključitev ukrepov za podporo akcijskemu načrtu/izvajanju priporočil schengenske evalvacije izdanih v obdobju 2021-2029 na področju vračanja.</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 xml:space="preserve">2) </w:t>
            </w:r>
            <w:r>
              <w:rPr>
                <w:rFonts w:ascii="TimesNewRoman" w:eastAsia="TimesNewRoman" w:hAnsi="TimesNewRoman" w:cs="TimesNewRoman"/>
                <w:b w:val="0"/>
                <w:i w:val="0"/>
                <w:vanish w:val="0"/>
                <w:color w:val="000000"/>
                <w:sz w:val="24"/>
                <w:u w:val="single"/>
              </w:rPr>
              <w:t>Izvedbeni ukrep 3b:</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Poleg izboljšanja in nadgradnje bivalnih pogojev, pozornost posvečamo tudi stalni nadgradnji postopkov, ki se izvajajo pri vračanju tujcev. Največji izziv še vedno predstavlja identifikacija tujcev in pridobivanje dokumentov za potrebe vračanja. Težave zaznavamo pri sodelovanju z uradnimi predstavništvi držav, ki so pristojni za potrjevanje identitete in izdajo dokumentov. Vzpodbujali bomo dobro komunikacijo z njimi tudi v smislu izmenjave najboljših praks z državami članicami EU ter se poleg tega zavzemali za sprejem in implementacijo sporazumov za potrebe vračanja svojih državljanov.</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Predvidene aktivnosti so:</w:t>
            </w:r>
          </w:p>
          <w:p w:rsidR="00A77B3E">
            <w:pPr>
              <w:numPr>
                <w:ilvl w:val="0"/>
                <w:numId w:val="1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sodelovanje z agencijo Frontex in z ostalimi agencijami, EU inštitucijami, državami članicami, nevladnimi organizacijami in ostalimi subjekti, ki podpirajo CT v smislu izboljšanja kapacitete delovanja in vračanja tujcev;</w:t>
            </w:r>
          </w:p>
          <w:p w:rsidR="00A77B3E">
            <w:pPr>
              <w:numPr>
                <w:ilvl w:val="0"/>
                <w:numId w:val="1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dvostransko sodelovanje z državami članicami, agencijami, mednarodnimi in nevladnimi organizacijami, ki ni zajeto v predhodni alineji;</w:t>
            </w:r>
          </w:p>
          <w:p w:rsidR="00A77B3E">
            <w:pPr>
              <w:numPr>
                <w:ilvl w:val="0"/>
                <w:numId w:val="1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spremljanje prisilnega vračanja skladno z 8 (6) členom Direktive o vračanju 2008/115/ES;</w:t>
            </w:r>
          </w:p>
          <w:p w:rsidR="00A77B3E">
            <w:pPr>
              <w:numPr>
                <w:ilvl w:val="0"/>
                <w:numId w:val="1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nabava opreme za spremljevalce prisilnega vračanja in oprema, potrebna za usposabljanje spremljevalcev (Mockup kabine letala, oprema za spremljevalce na letalu, oprema za usposabljanje in vzdrževanje fizične prpravljenosti, situacijski objekt z možnostjo postavitve opreme);</w:t>
            </w:r>
          </w:p>
          <w:p w:rsidR="00A77B3E">
            <w:pPr>
              <w:numPr>
                <w:ilvl w:val="0"/>
                <w:numId w:val="1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usposabljanje zaposlenih v CT;</w:t>
            </w:r>
          </w:p>
          <w:p w:rsidR="00A77B3E">
            <w:pPr>
              <w:numPr>
                <w:ilvl w:val="0"/>
                <w:numId w:val="1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priprave na vrnitev, vključno z ukrepi za identifikacijo tujcev, sodelovanje s tujimi predstavništvi in pridobivanje potovalnih dokumentov;</w:t>
            </w:r>
          </w:p>
          <w:p w:rsidR="00A77B3E">
            <w:pPr>
              <w:numPr>
                <w:ilvl w:val="0"/>
                <w:numId w:val="1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operacije vračanja, ki jih organizira in izvaja CT (nacionalna vračanja) ter operacije, ki se izvajajo v sodelovanju z drugimi državami članicami ali agencijo Frontex, v skladu z vsemi standardi;</w:t>
            </w:r>
          </w:p>
          <w:p w:rsidR="00A77B3E">
            <w:pPr>
              <w:numPr>
                <w:ilvl w:val="0"/>
                <w:numId w:val="1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skrb za urejeno vračanje in ustrezno pripravo tujcev vključno z omogočitvijo sekundarnega prevoza po vrnitvi v domovino;</w:t>
            </w:r>
          </w:p>
          <w:p w:rsidR="00A77B3E">
            <w:pPr>
              <w:numPr>
                <w:ilvl w:val="0"/>
                <w:numId w:val="1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prevajalske storitve od priprave tujca na vrnitev in ves čas postopka;</w:t>
            </w:r>
          </w:p>
          <w:p w:rsidR="00A77B3E">
            <w:pPr>
              <w:numPr>
                <w:ilvl w:val="0"/>
                <w:numId w:val="1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posodobitev in vzdrževanje obstoječe aplikacije RECAMAS, ki vključuje funkcionalnosti, potrebne za izvajanje Pakta;</w:t>
            </w:r>
          </w:p>
          <w:p w:rsidR="00A77B3E">
            <w:pPr>
              <w:numPr>
                <w:ilvl w:val="0"/>
                <w:numId w:val="16"/>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zdravstvena, psihološka in socialna oskrba tujcev.</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 xml:space="preserve">3) </w:t>
            </w:r>
            <w:r>
              <w:rPr>
                <w:rFonts w:ascii="TimesNewRoman" w:eastAsia="TimesNewRoman" w:hAnsi="TimesNewRoman" w:cs="TimesNewRoman"/>
                <w:b w:val="0"/>
                <w:i w:val="0"/>
                <w:vanish w:val="0"/>
                <w:color w:val="000000"/>
                <w:sz w:val="24"/>
                <w:u w:val="single"/>
              </w:rPr>
              <w:t>Izvedbeni ukrep 3c</w:t>
            </w:r>
            <w:r>
              <w:rPr>
                <w:rFonts w:ascii="TimesNewRoman" w:eastAsia="TimesNewRoman" w:hAnsi="TimesNewRoman" w:cs="TimesNewRoman"/>
                <w:b w:val="0"/>
                <w:i w:val="0"/>
                <w:vanish w:val="0"/>
                <w:color w:val="000000"/>
                <w:sz w:val="24"/>
              </w:rPr>
              <w:t>:</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Prostovoljno vračanje tujcev in njihova reintegracija ter pomoč pri vračanju prosilcev za mednarodno zaščito in oseb s priznano mednarodno zaščito v domačem okolju bo še naprej naša prioriteta. Pri izvajanju tega ukrepa bomo še naprej sodelovali z mednarodnimi in nevladnimi organizacijami. V okviru tega ukrepa se bodo okrepile strukture za prostovoljno vračanje (interaktivni spletni portal, IT oprema, prostori za svetovanje, promocija programov, usposabljanja svetovalcev, študijski obiski, seminarji) (90% fin.).</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Predvidene aktivnosti so:</w:t>
            </w:r>
          </w:p>
          <w:p w:rsidR="00A77B3E">
            <w:pPr>
              <w:numPr>
                <w:ilvl w:val="0"/>
                <w:numId w:val="17"/>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sodelovanje z mednarodnimi organizacijami in nevladnimi organizacijami pri vseh oblikah prostovoljnega vračanja in reintegracije v domovini, kar bo prioriteta (90% fin.);</w:t>
            </w:r>
          </w:p>
          <w:p w:rsidR="00A77B3E">
            <w:pPr>
              <w:numPr>
                <w:ilvl w:val="0"/>
                <w:numId w:val="17"/>
              </w:numPr>
              <w:spacing w:before="100" w:after="0"/>
              <w:ind w:left="720" w:hanging="36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svetovanje pridržanim osebam glede možnosti prostovoljne vrnitve ter reintegracijski programi.</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Prioriteta RS bo sodelovanje v projektu EURP agencije Frontex, ki ga v celoti financira Frontex (aktivnost brez AMIF sofinanciranja).</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 xml:space="preserve">4) </w:t>
            </w:r>
            <w:r>
              <w:rPr>
                <w:rFonts w:ascii="TimesNewRoman" w:eastAsia="TimesNewRoman" w:hAnsi="TimesNewRoman" w:cs="TimesNewRoman"/>
                <w:b w:val="0"/>
                <w:i w:val="0"/>
                <w:vanish w:val="0"/>
                <w:color w:val="000000"/>
                <w:sz w:val="24"/>
                <w:u w:val="single"/>
              </w:rPr>
              <w:t>Izvedbeni ukrep 3d</w:t>
            </w:r>
            <w:r>
              <w:rPr>
                <w:rFonts w:ascii="TimesNewRoman" w:eastAsia="TimesNewRoman" w:hAnsi="TimesNewRoman" w:cs="TimesNewRoman"/>
                <w:b w:val="0"/>
                <w:i w:val="0"/>
                <w:vanish w:val="0"/>
                <w:color w:val="000000"/>
                <w:sz w:val="24"/>
              </w:rPr>
              <w:t>:</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Trenutno največje izzive predstavlja komunikacija s predstavništvi tretjih držav, pristojnimi za identifikacijo lastnih državljanov. Tudi v prihodnje bomo vzpodbujali dobro komunikacijo s temi organi in skrbeli za izboljšanje vseh kapacitet potrebnih za uspešno sodelovanje.</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Predvidene aktivnosti so nadaljevanje krepitve sodelovanja s tretjimi državami in njihovimi predstavništvi za ugotavljanja identitete svojih državljanov in izdaje potovalnih dokumentov, ki so potrebni za vračanje. Izvajalo se bo sodelovanje s tretjimi državami na področju migracij (možnost izboljšanja vračanja (npr. Maroko, Alžirija…).</w:t>
            </w:r>
          </w:p>
          <w:p w:rsidR="00A77B3E">
            <w:pPr>
              <w:spacing w:before="100" w:after="0"/>
              <w:jc w:val="left"/>
              <w:rPr>
                <w:rFonts w:ascii="TimesNewRoman" w:eastAsia="TimesNewRoman" w:hAnsi="TimesNewRoman" w:cs="TimesNewRoman"/>
                <w:b w:val="0"/>
                <w:i w:val="0"/>
                <w:vanish w:val="0"/>
                <w:color w:val="000000"/>
                <w:sz w:val="6"/>
              </w:rPr>
            </w:pPr>
          </w:p>
          <w:p w:rsidR="00A77B3E">
            <w:pPr>
              <w:spacing w:before="100" w:after="0"/>
              <w:jc w:val="left"/>
              <w:rPr>
                <w:rFonts w:ascii="TimesNewRoman" w:eastAsia="TimesNewRoman" w:hAnsi="TimesNewRoman" w:cs="TimesNewRoman"/>
                <w:b w:val="0"/>
                <w:i w:val="0"/>
                <w:vanish w:val="0"/>
                <w:color w:val="000000"/>
                <w:sz w:val="6"/>
              </w:rPr>
            </w:pPr>
          </w:p>
        </w:tc>
      </w:tr>
    </w:tbl>
    <w:p w:rsidR="00A77B3E">
      <w:pPr>
        <w:spacing w:before="100" w:after="0"/>
        <w:jc w:val="left"/>
        <w:rPr>
          <w:rFonts w:ascii="TimesNewRoman" w:eastAsia="TimesNewRoman" w:hAnsi="TimesNewRoman" w:cs="TimesNewRoman"/>
          <w:b w:val="0"/>
          <w:i w:val="0"/>
          <w:vanish w:val="0"/>
          <w:color w:val="000000"/>
          <w:sz w:val="24"/>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orient="portrait"/>
          <w:pgMar w:top="720" w:right="936" w:bottom="864" w:left="720" w:header="0" w:footer="72" w:gutter="0"/>
          <w:cols w:space="708"/>
          <w:noEndnote/>
          <w:docGrid w:linePitch="360"/>
        </w:sectPr>
      </w:pPr>
    </w:p>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2.1. Specifični cilj 3. Vrnitev</w:t>
      </w:r>
    </w:p>
    <w:p w:rsidR="00A77B3E">
      <w:pPr>
        <w:pStyle w:val="Heading3"/>
        <w:spacing w:before="100" w:after="0"/>
        <w:jc w:val="left"/>
        <w:rPr>
          <w:rFonts w:ascii="Times New Roman" w:eastAsia="Times New Roman" w:hAnsi="Times New Roman" w:cs="Times New Roman"/>
          <w:b w:val="0"/>
          <w:i w:val="0"/>
          <w:vanish w:val="0"/>
          <w:color w:val="000000"/>
          <w:sz w:val="24"/>
        </w:rPr>
      </w:pPr>
      <w:bookmarkStart w:id="18" w:name="_Toc256000081"/>
      <w:r>
        <w:rPr>
          <w:rFonts w:ascii="Times New Roman" w:eastAsia="Times New Roman" w:hAnsi="Times New Roman" w:cs="Times New Roman"/>
          <w:b w:val="0"/>
          <w:i w:val="0"/>
          <w:vanish w:val="0"/>
          <w:color w:val="000000"/>
          <w:sz w:val="24"/>
        </w:rPr>
        <w:t>2.1.2. Kazalniki</w:t>
      </w:r>
      <w:bookmarkEnd w:id="18"/>
    </w:p>
    <w:p w:rsidR="00A77B3E">
      <w:pPr>
        <w:spacing w:before="100" w:after="0"/>
        <w:jc w:val="left"/>
        <w:rPr>
          <w:rFonts w:ascii="Times New Roman" w:eastAsia="Times New Roman" w:hAnsi="Times New Roman" w:cs="Times New Roman"/>
          <w:b w:val="0"/>
          <w:i w:val="0"/>
          <w:vanish w:val="0"/>
          <w:color w:val="000000"/>
          <w:sz w:val="12"/>
        </w:rPr>
      </w:pPr>
      <w:r>
        <w:rPr>
          <w:rFonts w:ascii="Times New Roman" w:eastAsia="Times New Roman" w:hAnsi="Times New Roman" w:cs="Times New Roman"/>
          <w:b w:val="0"/>
          <w:i w:val="0"/>
          <w:vanish w:val="0"/>
          <w:color w:val="000000"/>
          <w:sz w:val="24"/>
        </w:rPr>
        <w:t>Sklic: člen 22(4)(e) uredbe o skupnih določbah</w:t>
      </w:r>
    </w:p>
    <w:p w:rsidR="00A77B3E">
      <w:pPr>
        <w:pStyle w:val="Heading4"/>
        <w:spacing w:before="100" w:after="0"/>
        <w:jc w:val="left"/>
        <w:rPr>
          <w:rFonts w:ascii="Times New Roman" w:eastAsia="Times New Roman" w:hAnsi="Times New Roman" w:cs="Times New Roman"/>
          <w:b w:val="0"/>
          <w:i w:val="0"/>
          <w:vanish w:val="0"/>
          <w:color w:val="000000"/>
          <w:sz w:val="24"/>
        </w:rPr>
      </w:pPr>
      <w:bookmarkStart w:id="19" w:name="_Toc256000082"/>
      <w:r>
        <w:rPr>
          <w:rFonts w:ascii="Times New Roman" w:eastAsia="Times New Roman" w:hAnsi="Times New Roman" w:cs="Times New Roman"/>
          <w:b w:val="0"/>
          <w:i w:val="0"/>
          <w:vanish w:val="0"/>
          <w:color w:val="000000"/>
          <w:sz w:val="24"/>
        </w:rPr>
        <w:t>Tabela 1: Kazalniki učinka</w:t>
      </w:r>
      <w:bookmarkEnd w:id="19"/>
    </w:p>
    <w:p w:rsidR="00A77B3E">
      <w:pPr>
        <w:spacing w:before="100" w:after="0"/>
        <w:jc w:val="left"/>
        <w:rPr>
          <w:rFonts w:ascii="Times New Roman" w:eastAsia="Times New Roman" w:hAnsi="Times New Roman" w:cs="Times New 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492"/>
        <w:gridCol w:w="9165"/>
        <w:gridCol w:w="1602"/>
        <w:gridCol w:w="1706"/>
        <w:gridCol w:w="1337"/>
      </w:tblGrid>
      <w:tr>
        <w:tblPrEx>
          <w:tblW w:w="5000" w:type="pct"/>
        </w:tblPrEx>
        <w:trPr>
          <w:cantSplit w:val="0"/>
          <w:trHeight w:hRule="auto" w:val="0"/>
          <w:tblHeader/>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Identifikator</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Kazalnik</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Mejnik (2024)</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Cilj (2029)</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O.3.1</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 xml:space="preserve">Število udeležencev dejavnosti usposabljanja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50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80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O.3.2</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kupljene opreme, vključno s številom kupljenih/posodobljenih sistemov IKT</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40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451</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O.3.3</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oseb v postopku vračanja, ki so prejeli pomoč pri ponovnem vključevanju</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O.3.4</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ustvarjenih mest v centrih za pridržanje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O.3.5</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mest v prenovljenih/obnovljenih centrih za pridržanje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60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120</w:t>
            </w:r>
          </w:p>
        </w:tc>
      </w:tr>
    </w:tbl>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0"/>
        </w:rPr>
        <w:br w:type="page"/>
      </w:r>
      <w:r>
        <w:rPr>
          <w:rFonts w:ascii="Times New Roman" w:eastAsia="Times New Roman" w:hAnsi="Times New Roman" w:cs="Times New Roman"/>
          <w:b w:val="0"/>
          <w:i w:val="0"/>
          <w:vanish w:val="0"/>
          <w:color w:val="000000"/>
          <w:sz w:val="24"/>
        </w:rPr>
        <w:t>2.1. Specifični cilj 3. Vrnitev</w:t>
      </w:r>
    </w:p>
    <w:p w:rsidR="00A77B3E">
      <w:pPr>
        <w:spacing w:before="100" w:after="0"/>
        <w:jc w:val="left"/>
        <w:rPr>
          <w:rFonts w:ascii="Times New Roman" w:eastAsia="Times New Roman" w:hAnsi="Times New Roman" w:cs="Times New Roman"/>
          <w:b w:val="0"/>
          <w:i w:val="0"/>
          <w:vanish w:val="0"/>
          <w:color w:val="000000"/>
          <w:sz w:val="0"/>
        </w:rPr>
      </w:pPr>
      <w:r>
        <w:rPr>
          <w:rFonts w:ascii="Times New Roman" w:eastAsia="Times New Roman" w:hAnsi="Times New Roman" w:cs="Times New Roman"/>
          <w:b w:val="0"/>
          <w:i w:val="0"/>
          <w:vanish w:val="0"/>
          <w:color w:val="000000"/>
          <w:sz w:val="24"/>
        </w:rPr>
        <w:t>2.1.2. Kazalniki</w:t>
      </w:r>
    </w:p>
    <w:p w:rsidR="00A77B3E">
      <w:pPr>
        <w:spacing w:before="100" w:after="0"/>
        <w:jc w:val="left"/>
        <w:rPr>
          <w:rFonts w:ascii="Times New Roman" w:eastAsia="Times New Roman" w:hAnsi="Times New Roman" w:cs="Times New Roman"/>
          <w:b w:val="0"/>
          <w:i w:val="0"/>
          <w:vanish w:val="0"/>
          <w:color w:val="000000"/>
          <w:sz w:val="12"/>
        </w:rPr>
      </w:pPr>
      <w:r>
        <w:rPr>
          <w:rFonts w:ascii="Times New Roman" w:eastAsia="Times New Roman" w:hAnsi="Times New Roman" w:cs="Times New Roman"/>
          <w:b w:val="0"/>
          <w:i w:val="0"/>
          <w:vanish w:val="0"/>
          <w:color w:val="000000"/>
          <w:sz w:val="24"/>
        </w:rPr>
        <w:t>Sklic: člen 22(4)(e) uredbe o skupnih določbah</w:t>
      </w:r>
    </w:p>
    <w:p w:rsidR="00A77B3E">
      <w:pPr>
        <w:pStyle w:val="Heading4"/>
        <w:spacing w:before="100" w:after="0"/>
        <w:jc w:val="left"/>
        <w:rPr>
          <w:rFonts w:ascii="Times New Roman" w:eastAsia="Times New Roman" w:hAnsi="Times New Roman" w:cs="Times New Roman"/>
          <w:b w:val="0"/>
          <w:i w:val="0"/>
          <w:vanish w:val="0"/>
          <w:color w:val="000000"/>
          <w:sz w:val="24"/>
        </w:rPr>
      </w:pPr>
      <w:bookmarkStart w:id="20" w:name="_Toc256000083"/>
      <w:r>
        <w:rPr>
          <w:rFonts w:ascii="Times New Roman" w:eastAsia="Times New Roman" w:hAnsi="Times New Roman" w:cs="Times New Roman"/>
          <w:b w:val="0"/>
          <w:i w:val="0"/>
          <w:vanish w:val="0"/>
          <w:color w:val="000000"/>
          <w:sz w:val="24"/>
        </w:rPr>
        <w:t>Tabela 2: Kazalniki rezultatov</w:t>
      </w:r>
      <w:bookmarkEnd w:id="20"/>
    </w:p>
    <w:p w:rsidR="00A77B3E">
      <w:pPr>
        <w:spacing w:before="100" w:after="0"/>
        <w:jc w:val="left"/>
        <w:rPr>
          <w:rFonts w:ascii="Times New Roman" w:eastAsia="Times New Roman" w:hAnsi="Times New Roman" w:cs="Times New 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760"/>
        <w:gridCol w:w="2276"/>
        <w:gridCol w:w="1517"/>
        <w:gridCol w:w="1517"/>
        <w:gridCol w:w="1517"/>
        <w:gridCol w:w="1517"/>
        <w:gridCol w:w="1517"/>
        <w:gridCol w:w="1517"/>
        <w:gridCol w:w="1517"/>
        <w:gridCol w:w="1517"/>
      </w:tblGrid>
      <w:tr>
        <w:tblPrEx>
          <w:tblW w:w="5000" w:type="pct"/>
          <w:tblLayout w:type="fixed"/>
        </w:tblPrEx>
        <w:trPr>
          <w:cantSplit w:val="0"/>
          <w:trHeight w:hRule="auto" w:val="0"/>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Identifikator</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Kazalnik</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Izhodišče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 za izhodišče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Referenčna leta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Cilj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 za cilj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Vir podatkov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Opombe</w:t>
            </w: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R.3.6</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oseb v postopku vračanja, ki so se vrnili prostovoljno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80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Interne evidence in letna poročila Centra za tujce.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R.3.7</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oseb v postopku vračanja, ki so bili odstranjeni</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336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Interne evidence in letna poročila Centra za tujce.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R.3.8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oseb v postopku vračanja, za katere so se uporabile alternative pridržanju</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Interne evidence in letna poročila Centra za tujce.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tc>
      </w:tr>
    </w:tbl>
    <w:p w:rsidR="00A77B3E">
      <w:pPr>
        <w:spacing w:before="100" w:after="0"/>
        <w:jc w:val="left"/>
        <w:rPr>
          <w:rFonts w:ascii="Times New Roman" w:eastAsia="Times New Roman" w:hAnsi="Times New Roman" w:cs="Times New Roman"/>
          <w:b w:val="0"/>
          <w:i w:val="0"/>
          <w:vanish w:val="0"/>
          <w:color w:val="000000"/>
          <w:sz w:val="20"/>
        </w:rPr>
        <w:sectPr>
          <w:headerReference w:type="even" r:id="rId46"/>
          <w:headerReference w:type="default" r:id="rId47"/>
          <w:footerReference w:type="even" r:id="rId48"/>
          <w:footerReference w:type="default" r:id="rId49"/>
          <w:headerReference w:type="first" r:id="rId50"/>
          <w:footerReference w:type="first" r:id="rId51"/>
          <w:type w:val="nextPage"/>
          <w:pgSz w:w="16838" w:h="11906" w:orient="landscape"/>
          <w:pgMar w:top="720" w:right="720" w:bottom="864" w:left="936" w:header="288" w:footer="72" w:gutter="0"/>
          <w:cols w:space="708"/>
          <w:noEndnote/>
          <w:docGrid w:linePitch="360"/>
        </w:sectPr>
      </w:pPr>
    </w:p>
    <w:p w:rsidR="00A77B3E">
      <w:pPr>
        <w:spacing w:before="100" w:after="0"/>
        <w:jc w:val="left"/>
        <w:rPr>
          <w:rFonts w:ascii="Times New Roman" w:eastAsia="Times New Roman" w:hAnsi="Times New Roman" w:cs="Times New Roman"/>
          <w:b w:val="0"/>
          <w:i w:val="0"/>
          <w:vanish w:val="0"/>
          <w:color w:val="000000"/>
          <w:sz w:val="0"/>
        </w:rPr>
      </w:pPr>
      <w:r>
        <w:rPr>
          <w:rFonts w:ascii="Times New Roman" w:eastAsia="Times New Roman" w:hAnsi="Times New Roman" w:cs="Times New Roman"/>
          <w:b w:val="0"/>
          <w:i w:val="0"/>
          <w:vanish w:val="0"/>
          <w:color w:val="000000"/>
          <w:sz w:val="24"/>
        </w:rPr>
        <w:t>2.1. Specifični cilj 3. Vrnitev</w:t>
      </w:r>
    </w:p>
    <w:p w:rsidR="00A77B3E">
      <w:pPr>
        <w:pStyle w:val="Heading3"/>
        <w:spacing w:before="100" w:after="0"/>
        <w:jc w:val="left"/>
        <w:rPr>
          <w:rFonts w:ascii="Times New Roman" w:eastAsia="Times New Roman" w:hAnsi="Times New Roman" w:cs="Times New Roman"/>
          <w:b w:val="0"/>
          <w:i w:val="0"/>
          <w:vanish w:val="0"/>
          <w:color w:val="000000"/>
          <w:sz w:val="24"/>
        </w:rPr>
      </w:pPr>
      <w:bookmarkStart w:id="21" w:name="_Toc256000084"/>
      <w:r>
        <w:rPr>
          <w:rFonts w:ascii="Times New Roman" w:eastAsia="Times New Roman" w:hAnsi="Times New Roman" w:cs="Times New Roman"/>
          <w:b w:val="0"/>
          <w:i w:val="0"/>
          <w:vanish w:val="0"/>
          <w:color w:val="000000"/>
          <w:sz w:val="24"/>
        </w:rPr>
        <w:t>2.1.3. Okvirna razčlenitev programskih sredstev (EU) po vrsti ukrepa</w:t>
      </w:r>
      <w:bookmarkEnd w:id="21"/>
    </w:p>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Sklic: člen 22(5) uredbe o skupnih določbah, člen 16(2) uredbe o AMIF, člen 13(12) uredbe o SNV ali člen 13(18) uredbe o IUMV</w:t>
      </w:r>
    </w:p>
    <w:p w:rsidR="00A77B3E">
      <w:pPr>
        <w:pStyle w:val="Heading4"/>
        <w:spacing w:before="100" w:after="0"/>
        <w:jc w:val="left"/>
        <w:rPr>
          <w:rFonts w:ascii="Times New Roman" w:eastAsia="Times New Roman" w:hAnsi="Times New Roman" w:cs="Times New Roman"/>
          <w:b w:val="0"/>
          <w:i w:val="0"/>
          <w:vanish w:val="0"/>
          <w:color w:val="000000"/>
          <w:sz w:val="24"/>
        </w:rPr>
      </w:pPr>
      <w:bookmarkStart w:id="22" w:name="_Toc256000085"/>
      <w:r>
        <w:rPr>
          <w:rFonts w:ascii="Times New Roman" w:eastAsia="Times New Roman" w:hAnsi="Times New Roman" w:cs="Times New Roman"/>
          <w:b w:val="0"/>
          <w:i w:val="0"/>
          <w:vanish w:val="0"/>
          <w:color w:val="000000"/>
          <w:sz w:val="24"/>
        </w:rPr>
        <w:t>Tabela 3: Okvirna razčlenitev</w:t>
      </w:r>
      <w:bookmarkEnd w:id="22"/>
    </w:p>
    <w:p w:rsidR="00A77B3E">
      <w:pPr>
        <w:spacing w:before="100" w:after="0"/>
        <w:jc w:val="left"/>
        <w:rPr>
          <w:rFonts w:ascii="Times New Roman" w:eastAsia="Times New Roman" w:hAnsi="Times New Roman" w:cs="Times New 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108"/>
        <w:gridCol w:w="8669"/>
        <w:gridCol w:w="3525"/>
      </w:tblGrid>
      <w:tr>
        <w:tblPrEx>
          <w:tblW w:w="5000" w:type="pct"/>
        </w:tblPrEx>
        <w:trPr>
          <w:cantSplit w:val="0"/>
          <w:trHeight w:hRule="auto" w:val="0"/>
          <w:tblHeader/>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Vrsta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Oznaka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Okvirni znesek (v EUR)</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001.Alternative pridržanju</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225.000,00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002.Pogoji za sprejem/pridržanje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6.701.296,42</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 xml:space="preserve">003.Postopki vračanja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750.000,00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 xml:space="preserve">004.Pomoč pri prostovoljnem vračanju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241.740,00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005.Pomoč pri reintegraciji</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006.Operacije odstranitve/vračanja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682.500,00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007.Sistem za spremljanje prisilnega vračanja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105.000,00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008.Ranljive osebe/mladoletniki brez spremstva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009.Ukrepi za odpravljanje spodbud za nedovoljene migracije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010.Operativna podpora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bl>
    <w:p w:rsidR="00A77B3E">
      <w:pPr>
        <w:spacing w:before="100" w:after="0"/>
        <w:jc w:val="left"/>
        <w:rPr>
          <w:rFonts w:ascii="Times New Roman" w:eastAsia="Times New Roman" w:hAnsi="Times New Roman" w:cs="Times New Roman"/>
          <w:b w:val="0"/>
          <w:i w:val="0"/>
          <w:vanish w:val="0"/>
          <w:color w:val="000000"/>
          <w:sz w:val="20"/>
        </w:rPr>
        <w:sectPr>
          <w:type w:val="nextPage"/>
          <w:pgSz w:w="16838" w:h="11906" w:orient="landscape"/>
          <w:pgMar w:top="720" w:right="720" w:bottom="864" w:left="936" w:header="288" w:footer="72" w:gutter="0"/>
          <w:cols w:space="708"/>
          <w:noEndnote/>
          <w:docGrid w:linePitch="360"/>
        </w:sectPr>
      </w:pPr>
    </w:p>
    <w:p w:rsidR="00A77B3E">
      <w:pPr>
        <w:pStyle w:val="Heading2"/>
        <w:spacing w:before="100" w:after="0"/>
        <w:jc w:val="left"/>
        <w:rPr>
          <w:rFonts w:ascii="TimesNewRoman" w:eastAsia="TimesNewRoman" w:hAnsi="TimesNewRoman" w:cs="TimesNewRoman"/>
          <w:b w:val="0"/>
          <w:i w:val="0"/>
          <w:vanish w:val="0"/>
          <w:color w:val="000000"/>
          <w:sz w:val="24"/>
        </w:rPr>
      </w:pPr>
      <w:bookmarkStart w:id="23" w:name="_Toc256000086"/>
      <w:r>
        <w:rPr>
          <w:rFonts w:ascii="TimesNewRoman" w:eastAsia="TimesNewRoman" w:hAnsi="TimesNewRoman" w:cs="TimesNewRoman"/>
          <w:b w:val="0"/>
          <w:i w:val="0"/>
          <w:vanish w:val="0"/>
          <w:color w:val="000000"/>
          <w:sz w:val="24"/>
        </w:rPr>
        <w:t>2.1. Specifični cilj: 4. Solidarnost</w:t>
      </w:r>
      <w:bookmarkEnd w:id="23"/>
    </w:p>
    <w:p w:rsidR="00A77B3E">
      <w:pPr>
        <w:spacing w:before="100" w:after="0"/>
        <w:jc w:val="left"/>
        <w:rPr>
          <w:rFonts w:ascii="TimesNewRoman" w:eastAsia="TimesNewRoman" w:hAnsi="TimesNewRoman" w:cs="TimesNewRoman"/>
          <w:b w:val="0"/>
          <w:i w:val="0"/>
          <w:vanish w:val="0"/>
          <w:color w:val="000000"/>
          <w:sz w:val="0"/>
        </w:rPr>
      </w:pPr>
    </w:p>
    <w:p w:rsidR="00A77B3E">
      <w:pPr>
        <w:pStyle w:val="Heading3"/>
        <w:spacing w:before="100" w:after="0"/>
        <w:jc w:val="left"/>
        <w:rPr>
          <w:rFonts w:ascii="TimesNewRoman" w:eastAsia="TimesNewRoman" w:hAnsi="TimesNewRoman" w:cs="TimesNewRoman"/>
          <w:b w:val="0"/>
          <w:i w:val="0"/>
          <w:vanish w:val="0"/>
          <w:color w:val="000000"/>
          <w:sz w:val="24"/>
        </w:rPr>
      </w:pPr>
      <w:bookmarkStart w:id="24" w:name="_Toc256000087"/>
      <w:r>
        <w:rPr>
          <w:rFonts w:ascii="TimesNewRoman" w:eastAsia="TimesNewRoman" w:hAnsi="TimesNewRoman" w:cs="TimesNewRoman"/>
          <w:b w:val="0"/>
          <w:i w:val="0"/>
          <w:vanish w:val="0"/>
          <w:color w:val="000000"/>
          <w:sz w:val="24"/>
        </w:rPr>
        <w:t>2.1.1. Opis specifičnega cilja</w:t>
      </w:r>
      <w:bookmarkEnd w:id="24"/>
    </w:p>
    <w:p w:rsidR="00A77B3E">
      <w:pPr>
        <w:spacing w:before="100" w:after="0"/>
        <w:jc w:val="left"/>
        <w:rPr>
          <w:rFonts w:ascii="TimesNewRoman" w:eastAsia="TimesNewRoman" w:hAnsi="TimesNewRoman" w:cs="TimesNew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0240"/>
      </w:tblGrid>
      <w:tr>
        <w:tblPrEx>
          <w:tblW w:w="5000" w:type="pct"/>
          <w:tblLayout w:type="fixed"/>
        </w:tblPrEx>
        <w:trPr>
          <w:cantSplit w:val="0"/>
          <w:trHeight w:hRule="auto" w:val="0"/>
          <w:tblHeader w:val="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0"/>
              </w:rPr>
            </w:pP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V okviru SO4 je Slovenija vzpostavila svoje prednostne cilje na spodaj navedenih področjih. Skladno s tem se bodo izvajali ukrepi 4a in 4b iz Priloge II.</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 xml:space="preserve">1) </w:t>
            </w:r>
            <w:r>
              <w:rPr>
                <w:rFonts w:ascii="TimesNewRoman" w:eastAsia="TimesNewRoman" w:hAnsi="TimesNewRoman" w:cs="TimesNewRoman"/>
                <w:b w:val="0"/>
                <w:i w:val="0"/>
                <w:vanish w:val="0"/>
                <w:color w:val="000000"/>
                <w:sz w:val="24"/>
                <w:u w:val="single"/>
              </w:rPr>
              <w:t xml:space="preserve">Izvedbeni ukrep 4a: </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Slovenija je vzpostavila zakonski okvir za okrepitev solidarnosti in sodelovanja pri preselitvah in humanitarnem sprejemu s tretjimi državami, ki se soočajo z migracijskimi tokovi, z ZMZ in drugimi podzakonskimi predpisi. Poleg tega lahko nudimo možnosti za nastanitev, vse oblike pomoči in integracijo posameznikov v družbo. Glede na pozive o sodelovanju in nestabilno spreminjajočo se situacijo v drugih regijah pa je odločitev o sodelovanju odvisna od političnega konsenza ter odobritve.</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 xml:space="preserve">2) </w:t>
            </w:r>
            <w:r>
              <w:rPr>
                <w:rFonts w:ascii="TimesNewRoman" w:eastAsia="TimesNewRoman" w:hAnsi="TimesNewRoman" w:cs="TimesNewRoman"/>
                <w:b w:val="0"/>
                <w:i w:val="0"/>
                <w:vanish w:val="0"/>
                <w:color w:val="000000"/>
                <w:sz w:val="24"/>
                <w:u w:val="single"/>
              </w:rPr>
              <w:t xml:space="preserve">Izvedbeni ukrep 4b: </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Predaje in prevzemi po dublinski uredbi: Učinkovito izvajanje Uredbe (EU) 604/2013 o vzpostavitvi meril in mehanizmov za določitev države članice, odgovorne za obravnavanje prošnje za azil, ki jo v eni od držav članic vloži državljan tretje države ter zagotovitev spremstva pri predaji in prevzemu tujcev.</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Slovenija je vzpostavila zakonski okvir za okrepitev solidarnosti in delitve odgovornosti med državami članicami oz. premestitev z ZMZ in drugimi podzakonski predpisi. Poleg tega ima možnosti za nastanitev in vse oblike pomoči kot tudi integracijo v družbo. Glede na pozive o sodelovanju in nestabilno spreminjajočo se situacijo v drugih regijah, pa je odločitev o sodelovanju odvisna od političnega konsenza ter odobritve.</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Pregled zavez je prikazan v tabeli 6a.</w:t>
            </w:r>
          </w:p>
          <w:p w:rsidR="00A77B3E">
            <w:pPr>
              <w:spacing w:before="100" w:after="0"/>
              <w:jc w:val="left"/>
              <w:rPr>
                <w:rFonts w:ascii="TimesNewRoman" w:eastAsia="TimesNewRoman" w:hAnsi="TimesNewRoman" w:cs="TimesNewRoman"/>
                <w:b w:val="0"/>
                <w:i w:val="0"/>
                <w:vanish w:val="0"/>
                <w:color w:val="000000"/>
                <w:sz w:val="6"/>
              </w:rPr>
            </w:pPr>
          </w:p>
          <w:p w:rsidR="00A77B3E">
            <w:pPr>
              <w:spacing w:before="100" w:after="0"/>
              <w:jc w:val="left"/>
              <w:rPr>
                <w:rFonts w:ascii="TimesNewRoman" w:eastAsia="TimesNewRoman" w:hAnsi="TimesNewRoman" w:cs="TimesNewRoman"/>
                <w:b w:val="0"/>
                <w:i w:val="0"/>
                <w:vanish w:val="0"/>
                <w:color w:val="000000"/>
                <w:sz w:val="6"/>
              </w:rPr>
            </w:pPr>
          </w:p>
        </w:tc>
      </w:tr>
    </w:tbl>
    <w:p w:rsidR="00A77B3E">
      <w:pPr>
        <w:spacing w:before="100" w:after="0"/>
        <w:jc w:val="left"/>
        <w:rPr>
          <w:rFonts w:ascii="TimesNewRoman" w:eastAsia="TimesNewRoman" w:hAnsi="TimesNewRoman" w:cs="TimesNewRoman"/>
          <w:b w:val="0"/>
          <w:i w:val="0"/>
          <w:vanish w:val="0"/>
          <w:color w:val="000000"/>
          <w:sz w:val="24"/>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orient="portrait"/>
          <w:pgMar w:top="720" w:right="936" w:bottom="864" w:left="720" w:header="0" w:footer="72" w:gutter="0"/>
          <w:cols w:space="708"/>
          <w:noEndnote/>
          <w:docGrid w:linePitch="360"/>
        </w:sectPr>
      </w:pPr>
    </w:p>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2.1. Specifični cilj 4. Solidarnost</w:t>
      </w:r>
    </w:p>
    <w:p w:rsidR="00A77B3E">
      <w:pPr>
        <w:pStyle w:val="Heading3"/>
        <w:spacing w:before="100" w:after="0"/>
        <w:jc w:val="left"/>
        <w:rPr>
          <w:rFonts w:ascii="Times New Roman" w:eastAsia="Times New Roman" w:hAnsi="Times New Roman" w:cs="Times New Roman"/>
          <w:b w:val="0"/>
          <w:i w:val="0"/>
          <w:vanish w:val="0"/>
          <w:color w:val="000000"/>
          <w:sz w:val="24"/>
        </w:rPr>
      </w:pPr>
      <w:bookmarkStart w:id="25" w:name="_Toc256000088"/>
      <w:r>
        <w:rPr>
          <w:rFonts w:ascii="Times New Roman" w:eastAsia="Times New Roman" w:hAnsi="Times New Roman" w:cs="Times New Roman"/>
          <w:b w:val="0"/>
          <w:i w:val="0"/>
          <w:vanish w:val="0"/>
          <w:color w:val="000000"/>
          <w:sz w:val="24"/>
        </w:rPr>
        <w:t>2.1.2. Kazalniki</w:t>
      </w:r>
      <w:bookmarkEnd w:id="25"/>
    </w:p>
    <w:p w:rsidR="00A77B3E">
      <w:pPr>
        <w:spacing w:before="100" w:after="0"/>
        <w:jc w:val="left"/>
        <w:rPr>
          <w:rFonts w:ascii="Times New Roman" w:eastAsia="Times New Roman" w:hAnsi="Times New Roman" w:cs="Times New Roman"/>
          <w:b w:val="0"/>
          <w:i w:val="0"/>
          <w:vanish w:val="0"/>
          <w:color w:val="000000"/>
          <w:sz w:val="12"/>
        </w:rPr>
      </w:pPr>
      <w:r>
        <w:rPr>
          <w:rFonts w:ascii="Times New Roman" w:eastAsia="Times New Roman" w:hAnsi="Times New Roman" w:cs="Times New Roman"/>
          <w:b w:val="0"/>
          <w:i w:val="0"/>
          <w:vanish w:val="0"/>
          <w:color w:val="000000"/>
          <w:sz w:val="24"/>
        </w:rPr>
        <w:t>Sklic: člen 22(4)(e) uredbe o skupnih določbah</w:t>
      </w:r>
    </w:p>
    <w:p w:rsidR="00A77B3E">
      <w:pPr>
        <w:pStyle w:val="Heading4"/>
        <w:spacing w:before="100" w:after="0"/>
        <w:jc w:val="left"/>
        <w:rPr>
          <w:rFonts w:ascii="Times New Roman" w:eastAsia="Times New Roman" w:hAnsi="Times New Roman" w:cs="Times New Roman"/>
          <w:b w:val="0"/>
          <w:i w:val="0"/>
          <w:vanish w:val="0"/>
          <w:color w:val="000000"/>
          <w:sz w:val="24"/>
        </w:rPr>
      </w:pPr>
      <w:bookmarkStart w:id="26" w:name="_Toc256000089"/>
      <w:r>
        <w:rPr>
          <w:rFonts w:ascii="Times New Roman" w:eastAsia="Times New Roman" w:hAnsi="Times New Roman" w:cs="Times New Roman"/>
          <w:b w:val="0"/>
          <w:i w:val="0"/>
          <w:vanish w:val="0"/>
          <w:color w:val="000000"/>
          <w:sz w:val="24"/>
        </w:rPr>
        <w:t>Tabela 1: Kazalniki učinka</w:t>
      </w:r>
      <w:bookmarkEnd w:id="26"/>
    </w:p>
    <w:p w:rsidR="00A77B3E">
      <w:pPr>
        <w:spacing w:before="100" w:after="0"/>
        <w:jc w:val="left"/>
        <w:rPr>
          <w:rFonts w:ascii="Times New Roman" w:eastAsia="Times New Roman" w:hAnsi="Times New Roman" w:cs="Times New 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842"/>
        <w:gridCol w:w="7724"/>
        <w:gridCol w:w="1978"/>
        <w:gridCol w:w="2107"/>
        <w:gridCol w:w="1651"/>
      </w:tblGrid>
      <w:tr>
        <w:tblPrEx>
          <w:tblW w:w="5000" w:type="pct"/>
        </w:tblPrEx>
        <w:trPr>
          <w:cantSplit w:val="0"/>
          <w:trHeight w:hRule="auto" w:val="0"/>
          <w:tblHeader/>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Identifikator</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Kazalnik</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Mejnik (2024)</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Cilj (2029)</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O.4.1</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usposobljenega osebja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O.4.2</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udeležencev, ki so prejeli podporo pred odhodom</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25</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50</w:t>
            </w:r>
          </w:p>
        </w:tc>
      </w:tr>
    </w:tbl>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0"/>
        </w:rPr>
        <w:br w:type="page"/>
      </w:r>
      <w:r>
        <w:rPr>
          <w:rFonts w:ascii="Times New Roman" w:eastAsia="Times New Roman" w:hAnsi="Times New Roman" w:cs="Times New Roman"/>
          <w:b w:val="0"/>
          <w:i w:val="0"/>
          <w:vanish w:val="0"/>
          <w:color w:val="000000"/>
          <w:sz w:val="24"/>
        </w:rPr>
        <w:t>2.1. Specifični cilj 4. Solidarnost</w:t>
      </w:r>
    </w:p>
    <w:p w:rsidR="00A77B3E">
      <w:pPr>
        <w:spacing w:before="100" w:after="0"/>
        <w:jc w:val="left"/>
        <w:rPr>
          <w:rFonts w:ascii="Times New Roman" w:eastAsia="Times New Roman" w:hAnsi="Times New Roman" w:cs="Times New Roman"/>
          <w:b w:val="0"/>
          <w:i w:val="0"/>
          <w:vanish w:val="0"/>
          <w:color w:val="000000"/>
          <w:sz w:val="0"/>
        </w:rPr>
      </w:pPr>
      <w:r>
        <w:rPr>
          <w:rFonts w:ascii="Times New Roman" w:eastAsia="Times New Roman" w:hAnsi="Times New Roman" w:cs="Times New Roman"/>
          <w:b w:val="0"/>
          <w:i w:val="0"/>
          <w:vanish w:val="0"/>
          <w:color w:val="000000"/>
          <w:sz w:val="24"/>
        </w:rPr>
        <w:t>2.1.2. Kazalniki</w:t>
      </w:r>
    </w:p>
    <w:p w:rsidR="00A77B3E">
      <w:pPr>
        <w:spacing w:before="100" w:after="0"/>
        <w:jc w:val="left"/>
        <w:rPr>
          <w:rFonts w:ascii="Times New Roman" w:eastAsia="Times New Roman" w:hAnsi="Times New Roman" w:cs="Times New Roman"/>
          <w:b w:val="0"/>
          <w:i w:val="0"/>
          <w:vanish w:val="0"/>
          <w:color w:val="000000"/>
          <w:sz w:val="12"/>
        </w:rPr>
      </w:pPr>
      <w:r>
        <w:rPr>
          <w:rFonts w:ascii="Times New Roman" w:eastAsia="Times New Roman" w:hAnsi="Times New Roman" w:cs="Times New Roman"/>
          <w:b w:val="0"/>
          <w:i w:val="0"/>
          <w:vanish w:val="0"/>
          <w:color w:val="000000"/>
          <w:sz w:val="24"/>
        </w:rPr>
        <w:t>Sklic: člen 22(4)(e) uredbe o skupnih določbah</w:t>
      </w:r>
    </w:p>
    <w:p w:rsidR="00A77B3E">
      <w:pPr>
        <w:pStyle w:val="Heading4"/>
        <w:spacing w:before="100" w:after="0"/>
        <w:jc w:val="left"/>
        <w:rPr>
          <w:rFonts w:ascii="Times New Roman" w:eastAsia="Times New Roman" w:hAnsi="Times New Roman" w:cs="Times New Roman"/>
          <w:b w:val="0"/>
          <w:i w:val="0"/>
          <w:vanish w:val="0"/>
          <w:color w:val="000000"/>
          <w:sz w:val="24"/>
        </w:rPr>
      </w:pPr>
      <w:bookmarkStart w:id="27" w:name="_Toc256000090"/>
      <w:r>
        <w:rPr>
          <w:rFonts w:ascii="Times New Roman" w:eastAsia="Times New Roman" w:hAnsi="Times New Roman" w:cs="Times New Roman"/>
          <w:b w:val="0"/>
          <w:i w:val="0"/>
          <w:vanish w:val="0"/>
          <w:color w:val="000000"/>
          <w:sz w:val="24"/>
        </w:rPr>
        <w:t>Tabela 2: Kazalniki rezultatov</w:t>
      </w:r>
      <w:bookmarkEnd w:id="27"/>
    </w:p>
    <w:p w:rsidR="00A77B3E">
      <w:pPr>
        <w:spacing w:before="100" w:after="0"/>
        <w:jc w:val="left"/>
        <w:rPr>
          <w:rFonts w:ascii="Times New Roman" w:eastAsia="Times New Roman" w:hAnsi="Times New Roman" w:cs="Times New 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760"/>
        <w:gridCol w:w="2276"/>
        <w:gridCol w:w="1517"/>
        <w:gridCol w:w="1517"/>
        <w:gridCol w:w="1517"/>
        <w:gridCol w:w="1517"/>
        <w:gridCol w:w="1517"/>
        <w:gridCol w:w="1517"/>
        <w:gridCol w:w="1517"/>
        <w:gridCol w:w="1517"/>
      </w:tblGrid>
      <w:tr>
        <w:tblPrEx>
          <w:tblW w:w="5000" w:type="pct"/>
          <w:tblLayout w:type="fixed"/>
        </w:tblPrEx>
        <w:trPr>
          <w:cantSplit w:val="0"/>
          <w:trHeight w:hRule="auto" w:val="0"/>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Identifikator</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Kazalnik</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Izhodišče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 za izhodišče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Referenčna leta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Cilj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Merska enota za cilj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Vir podatkov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Opombe</w:t>
            </w: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R.4.3</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prosilcev za mednarodno zaščito in upravičencev do nje, premeščenih iz ene države članice v drugo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Evidence MNZ, azilni register in evidence UOIM.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R.4.4</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preseljenih oseb</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50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Evidence MNZ, azilni register in evidence UOIM.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tc>
      </w:tr>
      <w:tr>
        <w:tblPrEx>
          <w:tblW w:w="5000" w:type="pct"/>
          <w:tblLayout w:type="fixed"/>
        </w:tblPrEx>
        <w:trPr>
          <w:cantSplit w:val="0"/>
          <w:trHeight w:hRule="auto" w:val="0"/>
          <w:tblHeader w:val="0"/>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R.4.5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 oseb, sprejetih na podlagi programov humanitarnega sprejema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število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Evidence MNZ, azilni register in evidence UOIM.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p>
        </w:tc>
      </w:tr>
    </w:tbl>
    <w:p w:rsidR="00A77B3E">
      <w:pPr>
        <w:spacing w:before="100" w:after="0"/>
        <w:jc w:val="left"/>
        <w:rPr>
          <w:rFonts w:ascii="Times New Roman" w:eastAsia="Times New Roman" w:hAnsi="Times New Roman" w:cs="Times New Roman"/>
          <w:b w:val="0"/>
          <w:i w:val="0"/>
          <w:vanish w:val="0"/>
          <w:color w:val="000000"/>
          <w:sz w:val="20"/>
        </w:rPr>
        <w:sectPr>
          <w:headerReference w:type="even" r:id="rId58"/>
          <w:headerReference w:type="default" r:id="rId59"/>
          <w:footerReference w:type="even" r:id="rId60"/>
          <w:footerReference w:type="default" r:id="rId61"/>
          <w:headerReference w:type="first" r:id="rId62"/>
          <w:footerReference w:type="first" r:id="rId63"/>
          <w:type w:val="nextPage"/>
          <w:pgSz w:w="16838" w:h="11906" w:orient="landscape"/>
          <w:pgMar w:top="720" w:right="720" w:bottom="864" w:left="936" w:header="288" w:footer="72" w:gutter="0"/>
          <w:cols w:space="708"/>
          <w:noEndnote/>
          <w:docGrid w:linePitch="360"/>
        </w:sectPr>
      </w:pPr>
    </w:p>
    <w:p w:rsidR="00A77B3E">
      <w:pPr>
        <w:spacing w:before="100" w:after="0"/>
        <w:jc w:val="left"/>
        <w:rPr>
          <w:rFonts w:ascii="Times New Roman" w:eastAsia="Times New Roman" w:hAnsi="Times New Roman" w:cs="Times New Roman"/>
          <w:b w:val="0"/>
          <w:i w:val="0"/>
          <w:vanish w:val="0"/>
          <w:color w:val="000000"/>
          <w:sz w:val="0"/>
        </w:rPr>
      </w:pPr>
      <w:r>
        <w:rPr>
          <w:rFonts w:ascii="Times New Roman" w:eastAsia="Times New Roman" w:hAnsi="Times New Roman" w:cs="Times New Roman"/>
          <w:b w:val="0"/>
          <w:i w:val="0"/>
          <w:vanish w:val="0"/>
          <w:color w:val="000000"/>
          <w:sz w:val="24"/>
        </w:rPr>
        <w:t>2.1. Specifični cilj 4. Solidarnost</w:t>
      </w:r>
    </w:p>
    <w:p w:rsidR="00A77B3E">
      <w:pPr>
        <w:pStyle w:val="Heading3"/>
        <w:spacing w:before="100" w:after="0"/>
        <w:jc w:val="left"/>
        <w:rPr>
          <w:rFonts w:ascii="Times New Roman" w:eastAsia="Times New Roman" w:hAnsi="Times New Roman" w:cs="Times New Roman"/>
          <w:b w:val="0"/>
          <w:i w:val="0"/>
          <w:vanish w:val="0"/>
          <w:color w:val="000000"/>
          <w:sz w:val="24"/>
        </w:rPr>
      </w:pPr>
      <w:bookmarkStart w:id="28" w:name="_Toc256000091"/>
      <w:r>
        <w:rPr>
          <w:rFonts w:ascii="Times New Roman" w:eastAsia="Times New Roman" w:hAnsi="Times New Roman" w:cs="Times New Roman"/>
          <w:b w:val="0"/>
          <w:i w:val="0"/>
          <w:vanish w:val="0"/>
          <w:color w:val="000000"/>
          <w:sz w:val="24"/>
        </w:rPr>
        <w:t>2.1.3. Okvirna razčlenitev programskih sredstev (EU) po vrsti ukrepa</w:t>
      </w:r>
      <w:bookmarkEnd w:id="28"/>
    </w:p>
    <w:p w:rsidR="00A77B3E">
      <w:pPr>
        <w:spacing w:before="100" w:after="0"/>
        <w:jc w:val="left"/>
        <w:rPr>
          <w:rFonts w:ascii="Times New Roman" w:eastAsia="Times New Roman" w:hAnsi="Times New Roman" w:cs="Times New Roman"/>
          <w:b w:val="0"/>
          <w:i w:val="0"/>
          <w:vanish w:val="0"/>
          <w:color w:val="000000"/>
          <w:sz w:val="24"/>
        </w:rPr>
      </w:pPr>
      <w:r>
        <w:rPr>
          <w:rFonts w:ascii="Times New Roman" w:eastAsia="Times New Roman" w:hAnsi="Times New Roman" w:cs="Times New Roman"/>
          <w:b w:val="0"/>
          <w:i w:val="0"/>
          <w:vanish w:val="0"/>
          <w:color w:val="000000"/>
          <w:sz w:val="24"/>
        </w:rPr>
        <w:t>Sklic: člen 22(5) uredbe o skupnih določbah, člen 16(2) uredbe o AMIF, člen 13(12) uredbe o SNV ali člen 13(18) uredbe o IUMV</w:t>
      </w:r>
    </w:p>
    <w:p w:rsidR="00A77B3E">
      <w:pPr>
        <w:pStyle w:val="Heading4"/>
        <w:spacing w:before="100" w:after="0"/>
        <w:jc w:val="left"/>
        <w:rPr>
          <w:rFonts w:ascii="Times New Roman" w:eastAsia="Times New Roman" w:hAnsi="Times New Roman" w:cs="Times New Roman"/>
          <w:b w:val="0"/>
          <w:i w:val="0"/>
          <w:vanish w:val="0"/>
          <w:color w:val="000000"/>
          <w:sz w:val="24"/>
        </w:rPr>
      </w:pPr>
      <w:bookmarkStart w:id="29" w:name="_Toc256000092"/>
      <w:r>
        <w:rPr>
          <w:rFonts w:ascii="Times New Roman" w:eastAsia="Times New Roman" w:hAnsi="Times New Roman" w:cs="Times New Roman"/>
          <w:b w:val="0"/>
          <w:i w:val="0"/>
          <w:vanish w:val="0"/>
          <w:color w:val="000000"/>
          <w:sz w:val="24"/>
        </w:rPr>
        <w:t>Tabela 3: Okvirna razčlenitev</w:t>
      </w:r>
      <w:bookmarkEnd w:id="29"/>
    </w:p>
    <w:p w:rsidR="00A77B3E">
      <w:pPr>
        <w:spacing w:before="100" w:after="0"/>
        <w:jc w:val="left"/>
        <w:rPr>
          <w:rFonts w:ascii="Times New Roman" w:eastAsia="Times New Roman" w:hAnsi="Times New Roman" w:cs="Times New 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717"/>
        <w:gridCol w:w="9504"/>
        <w:gridCol w:w="3081"/>
      </w:tblGrid>
      <w:tr>
        <w:tblPrEx>
          <w:tblW w:w="5000" w:type="pct"/>
        </w:tblPrEx>
        <w:trPr>
          <w:cantSplit w:val="0"/>
          <w:trHeight w:hRule="auto" w:val="0"/>
          <w:tblHeader/>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Vrsta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Oznaka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Okvirni znesek (v EUR)</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001.Premestitev v drugo državo članico (premestitev)</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50.000,00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002.Podpora države članice drugi državi članici, vključno s podporo za EASO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003.Preselitev (člen 19)</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500.000,00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004.Humanitarni sprejem (člen 19)</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005.Podpora v smislu sprejemne infrastrukture drugi državi članici</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006.Operativna podpora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bl>
    <w:p w:rsidR="00A77B3E">
      <w:pPr>
        <w:spacing w:before="100" w:after="0"/>
        <w:jc w:val="left"/>
        <w:rPr>
          <w:rFonts w:ascii="Times New Roman" w:eastAsia="Times New Roman" w:hAnsi="Times New Roman" w:cs="Times New Roman"/>
          <w:b w:val="0"/>
          <w:i w:val="0"/>
          <w:vanish w:val="0"/>
          <w:color w:val="000000"/>
          <w:sz w:val="20"/>
        </w:rPr>
        <w:sectPr>
          <w:type w:val="nextPage"/>
          <w:pgSz w:w="16838" w:h="11906" w:orient="landscape"/>
          <w:pgMar w:top="720" w:right="720" w:bottom="864" w:left="936" w:header="288" w:footer="72" w:gutter="0"/>
          <w:cols w:space="708"/>
          <w:noEndnote/>
          <w:docGrid w:linePitch="360"/>
        </w:sectPr>
      </w:pPr>
    </w:p>
    <w:p w:rsidR="00A77B3E">
      <w:pPr>
        <w:pStyle w:val="Heading2"/>
        <w:spacing w:before="100" w:after="0"/>
        <w:jc w:val="left"/>
        <w:rPr>
          <w:rFonts w:ascii="TimesNewRoman" w:eastAsia="TimesNewRoman" w:hAnsi="TimesNewRoman" w:cs="TimesNewRoman"/>
          <w:b w:val="0"/>
          <w:i w:val="0"/>
          <w:vanish w:val="0"/>
          <w:color w:val="000000"/>
          <w:sz w:val="24"/>
        </w:rPr>
      </w:pPr>
      <w:bookmarkStart w:id="30" w:name="_Toc256000093"/>
      <w:r>
        <w:rPr>
          <w:rFonts w:ascii="TimesNewRoman" w:eastAsia="TimesNewRoman" w:hAnsi="TimesNewRoman" w:cs="TimesNewRoman"/>
          <w:b w:val="0"/>
          <w:i w:val="0"/>
          <w:vanish w:val="0"/>
          <w:color w:val="000000"/>
          <w:sz w:val="24"/>
        </w:rPr>
        <w:t>2.2. Tehnična pomoč: TA.36(5). Tehnična pomoč – pavšalna stopnja(člen 36(5) uredbe o skupnih določbah)</w:t>
      </w:r>
      <w:bookmarkEnd w:id="30"/>
    </w:p>
    <w:p w:rsidR="00A77B3E">
      <w:pPr>
        <w:spacing w:before="100" w:after="0"/>
        <w:jc w:val="left"/>
        <w:rPr>
          <w:rFonts w:ascii="TimesNewRoman" w:eastAsia="TimesNewRoman" w:hAnsi="TimesNewRoman" w:cs="TimesNewRoman"/>
          <w:b w:val="0"/>
          <w:i w:val="0"/>
          <w:vanish w:val="0"/>
          <w:color w:val="000000"/>
          <w:sz w:val="0"/>
        </w:rPr>
      </w:pPr>
    </w:p>
    <w:p w:rsidR="00A77B3E">
      <w:pPr>
        <w:spacing w:before="100" w:after="0"/>
        <w:jc w:val="left"/>
        <w:rPr>
          <w:rFonts w:ascii="TimesNewRoman" w:eastAsia="TimesNewRoman" w:hAnsi="TimesNewRoman" w:cs="TimesNewRoman"/>
          <w:b w:val="0"/>
          <w:i w:val="0"/>
          <w:vanish w:val="0"/>
          <w:color w:val="000000"/>
          <w:sz w:val="0"/>
        </w:rPr>
      </w:pPr>
      <w:r>
        <w:rPr>
          <w:rFonts w:ascii="TimesNewRoman" w:eastAsia="TimesNewRoman" w:hAnsi="TimesNewRoman" w:cs="TimesNewRoman"/>
          <w:b w:val="0"/>
          <w:i w:val="0"/>
          <w:vanish w:val="0"/>
          <w:color w:val="000000"/>
          <w:sz w:val="24"/>
        </w:rPr>
        <w:t>Sklic: člen 22(3)(f), člen 36(5) ter člena 37 in 95 uredbe o skupnih določbah</w:t>
      </w:r>
    </w:p>
    <w:p w:rsidR="00A77B3E">
      <w:pPr>
        <w:pStyle w:val="Heading3"/>
        <w:spacing w:before="100" w:after="0"/>
        <w:jc w:val="left"/>
        <w:rPr>
          <w:rFonts w:ascii="TimesNewRoman" w:eastAsia="TimesNewRoman" w:hAnsi="TimesNewRoman" w:cs="TimesNewRoman"/>
          <w:b w:val="0"/>
          <w:i w:val="0"/>
          <w:vanish w:val="0"/>
          <w:color w:val="000000"/>
          <w:sz w:val="24"/>
        </w:rPr>
      </w:pPr>
      <w:bookmarkStart w:id="31" w:name="_Toc256000094"/>
      <w:r>
        <w:rPr>
          <w:rFonts w:ascii="TimesNewRoman" w:eastAsia="TimesNewRoman" w:hAnsi="TimesNewRoman" w:cs="TimesNewRoman"/>
          <w:b w:val="0"/>
          <w:i w:val="0"/>
          <w:vanish w:val="0"/>
          <w:color w:val="000000"/>
          <w:sz w:val="24"/>
        </w:rPr>
        <w:t>2.2.1. Opis</w:t>
      </w:r>
      <w:bookmarkEnd w:id="31"/>
    </w:p>
    <w:p w:rsidR="00A77B3E">
      <w:pPr>
        <w:spacing w:before="100" w:after="0"/>
        <w:jc w:val="left"/>
        <w:rPr>
          <w:rFonts w:ascii="TimesNewRoman" w:eastAsia="TimesNewRoman" w:hAnsi="TimesNewRoman" w:cs="TimesNew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0240"/>
      </w:tblGrid>
      <w:tr>
        <w:tblPrEx>
          <w:tblW w:w="5000" w:type="pct"/>
          <w:tblLayout w:type="fixed"/>
        </w:tblPrEx>
        <w:trPr>
          <w:cantSplit w:val="0"/>
          <w:trHeight w:hRule="auto" w:val="0"/>
          <w:tblHeader w:val="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0"/>
              </w:rPr>
            </w:pP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Sredstva tehnične pomoči (TP) bodo v večini namenjena za krepitev zmogljivosti (tj. plače osebja, izobraževanja in usposabljanja itd.) v okviru organa upravljanja tj. MNZ, Služba za evropska sredstva, Projektna enota za sklade notranje varnosti in migracije, ki se bo skladno s povečanim obsegom dodeljenih sredstev in posledično povečanim številom operacij okrepila. Sredstva TP bodo namenjena tudi za delovanje revizijskega organa tj. Ministrstva za finance, Urada za nadzor proračuna ter dveh posredniških teles. To sta Ministrstvo za finance, Sektor za upravljanje s sredstvi EU/CA za izvajanje finančnih transakcij med EU in nacionalnim proračunom ter posredniško telo za operacije, ki se izvajajo na podlagi javnih razpisov. Načrtovani stroški so vezani na stroške osebja, usposabljanja in tekoče stroške delovanja v vseh fazah programiranja (priprava, upravljanje in nadzor, spremljanje in vrednotenje).</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Del sredstev bo namenjenih za postavitev, nadgradnjo in vzdrževanje informacijskega sistema MIGRA III, ki je namenjen upravljanju in nadzoru EU sredstev skladov s področja notranje varnosti in migracij. Uporablja se za načrtovanje, izvajanje, spremljanje operacij, tako z vsebinskega kot tudi finančnega vidika.</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Preko nje bo potekala tudi izmenjava podatkov z aplikacijo SFC21 in bo osnova za pripravo vseh poročil. Dostop bodo imeli tako upravičenci kot tudi drugi organi v sistemu upravljanja in nadzora.</w:t>
            </w:r>
          </w:p>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24"/>
              </w:rPr>
              <w:t>Manjši del sredstev pa bo namenjen področju obveščanja in objavljanja ter študijam in evalvacijam.</w:t>
            </w:r>
          </w:p>
          <w:p w:rsidR="00A77B3E">
            <w:pPr>
              <w:spacing w:before="100" w:after="0"/>
              <w:jc w:val="left"/>
              <w:rPr>
                <w:rFonts w:ascii="TimesNewRoman" w:eastAsia="TimesNewRoman" w:hAnsi="TimesNewRoman" w:cs="TimesNewRoman"/>
                <w:b w:val="0"/>
                <w:i w:val="0"/>
                <w:vanish w:val="0"/>
                <w:color w:val="000000"/>
                <w:sz w:val="6"/>
              </w:rPr>
            </w:pPr>
          </w:p>
          <w:p w:rsidR="00A77B3E">
            <w:pPr>
              <w:spacing w:before="100" w:after="0"/>
              <w:jc w:val="left"/>
              <w:rPr>
                <w:rFonts w:ascii="TimesNewRoman" w:eastAsia="TimesNewRoman" w:hAnsi="TimesNewRoman" w:cs="TimesNewRoman"/>
                <w:b w:val="0"/>
                <w:i w:val="0"/>
                <w:vanish w:val="0"/>
                <w:color w:val="000000"/>
                <w:sz w:val="6"/>
              </w:rPr>
            </w:pPr>
          </w:p>
        </w:tc>
      </w:tr>
    </w:tbl>
    <w:p w:rsidR="00A77B3E">
      <w:pPr>
        <w:spacing w:before="100" w:after="0"/>
        <w:jc w:val="left"/>
        <w:rPr>
          <w:rFonts w:ascii="TimesNewRoman" w:eastAsia="TimesNewRoman" w:hAnsi="TimesNewRoman" w:cs="TimesNewRoman"/>
          <w:b w:val="0"/>
          <w:i w:val="0"/>
          <w:vanish w:val="0"/>
          <w:color w:val="000000"/>
          <w:sz w:val="24"/>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orient="portrait"/>
          <w:pgMar w:top="720" w:right="936" w:bottom="864" w:left="720" w:header="0" w:footer="72" w:gutter="0"/>
          <w:cols w:space="708"/>
          <w:noEndnote/>
          <w:docGrid w:linePitch="360"/>
        </w:sectPr>
      </w:pPr>
    </w:p>
    <w:p w:rsidR="00A77B3E">
      <w:pPr>
        <w:spacing w:before="100" w:after="0"/>
        <w:jc w:val="left"/>
        <w:rPr>
          <w:rFonts w:ascii="Times New Roman" w:eastAsia="Times New Roman" w:hAnsi="Times New Roman" w:cs="Times New Roman"/>
          <w:b w:val="0"/>
          <w:i w:val="0"/>
          <w:vanish w:val="0"/>
          <w:color w:val="000000"/>
          <w:sz w:val="0"/>
        </w:rPr>
      </w:pPr>
      <w:r>
        <w:rPr>
          <w:rFonts w:ascii="Times New Roman" w:eastAsia="Times New Roman" w:hAnsi="Times New Roman" w:cs="Times New Roman"/>
          <w:b w:val="0"/>
          <w:i w:val="0"/>
          <w:vanish w:val="0"/>
          <w:color w:val="000000"/>
          <w:sz w:val="24"/>
        </w:rPr>
        <w:t>2.2. Tehnična pomoč TA.36(5). Tehnična pomoč – pavšalna stopnja(člen 36(5) uredbe o skupnih določbah)</w:t>
      </w:r>
    </w:p>
    <w:p w:rsidR="00A77B3E">
      <w:pPr>
        <w:pStyle w:val="Heading3"/>
        <w:spacing w:before="100" w:after="0"/>
        <w:jc w:val="left"/>
        <w:rPr>
          <w:rFonts w:ascii="Times New Roman" w:eastAsia="Times New Roman" w:hAnsi="Times New Roman" w:cs="Times New Roman"/>
          <w:b w:val="0"/>
          <w:i w:val="0"/>
          <w:vanish w:val="0"/>
          <w:color w:val="000000"/>
          <w:sz w:val="24"/>
        </w:rPr>
      </w:pPr>
      <w:bookmarkStart w:id="32" w:name="_Toc256000095"/>
      <w:r>
        <w:rPr>
          <w:rFonts w:ascii="Times New Roman" w:eastAsia="Times New Roman" w:hAnsi="Times New Roman" w:cs="Times New Roman"/>
          <w:b w:val="0"/>
          <w:i w:val="0"/>
          <w:vanish w:val="0"/>
          <w:color w:val="000000"/>
          <w:sz w:val="24"/>
        </w:rPr>
        <w:t>2.2.2. Okvirna razčlenitev tehnične pomoči v skladu s členom 37 uredbe o skupnih določbah</w:t>
      </w:r>
      <w:bookmarkEnd w:id="32"/>
    </w:p>
    <w:p w:rsidR="00A77B3E">
      <w:pPr>
        <w:pStyle w:val="Heading4"/>
        <w:spacing w:before="100" w:after="0"/>
        <w:jc w:val="left"/>
        <w:rPr>
          <w:rFonts w:ascii="Times New Roman" w:eastAsia="Times New Roman" w:hAnsi="Times New Roman" w:cs="Times New Roman"/>
          <w:b w:val="0"/>
          <w:i w:val="0"/>
          <w:vanish w:val="0"/>
          <w:color w:val="000000"/>
          <w:sz w:val="24"/>
        </w:rPr>
      </w:pPr>
      <w:bookmarkStart w:id="33" w:name="_Toc256000096"/>
      <w:r>
        <w:rPr>
          <w:rFonts w:ascii="Times New Roman" w:eastAsia="Times New Roman" w:hAnsi="Times New Roman" w:cs="Times New Roman"/>
          <w:b w:val="0"/>
          <w:i w:val="0"/>
          <w:vanish w:val="0"/>
          <w:color w:val="000000"/>
          <w:sz w:val="24"/>
        </w:rPr>
        <w:t>Tabela 4: Okvirna razčlenitev</w:t>
      </w:r>
      <w:bookmarkEnd w:id="33"/>
    </w:p>
    <w:p w:rsidR="00A77B3E">
      <w:pPr>
        <w:spacing w:before="100" w:after="0"/>
        <w:jc w:val="left"/>
        <w:rPr>
          <w:rFonts w:ascii="Times New Roman" w:eastAsia="Times New Roman" w:hAnsi="Times New Roman" w:cs="Times New Roman"/>
          <w:b w:val="0"/>
          <w:i w:val="0"/>
          <w:vanish w:val="0"/>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404"/>
        <w:gridCol w:w="5238"/>
        <w:gridCol w:w="2728"/>
      </w:tblGrid>
      <w:tr>
        <w:tblPrEx>
          <w:tblW w:w="5000" w:type="pct"/>
        </w:tblPrEx>
        <w:trPr>
          <w:cantSplit w:val="0"/>
          <w:trHeight w:hRule="auto" w:val="0"/>
          <w:tblHeader/>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Vrsta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Oznaka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Okvirni znesek (v EUR)</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001.Informacijske in komunikacijske dejavnosti</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340.000,00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002.Priprava, izvajanje, spremljanje in kontrola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3.734.421,88</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003.Ocenjevanje in študije, zbiranje podatkov</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250.000,00</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Področje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004.Krepitev zmogljivosti</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 New Roman" w:eastAsia="Times New Roman" w:hAnsi="Times New Roman" w:cs="Times New Roman"/>
                <w:b w:val="0"/>
                <w:i w:val="0"/>
                <w:vanish w:val="0"/>
                <w:color w:val="000000"/>
                <w:sz w:val="20"/>
              </w:rPr>
            </w:pPr>
            <w:r>
              <w:rPr>
                <w:rFonts w:ascii="Times New Roman" w:eastAsia="Times New Roman" w:hAnsi="Times New Roman" w:cs="Times New Roman"/>
                <w:b w:val="0"/>
                <w:i w:val="0"/>
                <w:vanish w:val="0"/>
                <w:color w:val="000000"/>
                <w:sz w:val="20"/>
              </w:rPr>
              <w:t>0,00</w:t>
            </w:r>
          </w:p>
        </w:tc>
      </w:tr>
    </w:tbl>
    <w:p w:rsidR="00A77B3E">
      <w:pPr>
        <w:spacing w:before="100" w:after="0"/>
        <w:jc w:val="left"/>
        <w:rPr>
          <w:rFonts w:ascii="Times New Roman" w:eastAsia="Times New Roman" w:hAnsi="Times New Roman" w:cs="Times New Roman"/>
          <w:b w:val="0"/>
          <w:i w:val="0"/>
          <w:vanish w:val="0"/>
          <w:color w:val="000000"/>
          <w:sz w:val="20"/>
        </w:rPr>
        <w:sectPr>
          <w:type w:val="nextPage"/>
          <w:pgSz w:w="11906" w:h="16838" w:orient="portrait"/>
          <w:pgMar w:top="720" w:right="936" w:bottom="864" w:left="720" w:header="0" w:footer="72" w:gutter="0"/>
          <w:cols w:space="708"/>
          <w:noEndnote/>
          <w:docGrid w:linePitch="360"/>
        </w:sectPr>
      </w:pPr>
    </w:p>
    <w:p w:rsidR="00A77B3E">
      <w:pPr>
        <w:pStyle w:val="Heading1"/>
        <w:spacing w:before="100" w:after="0"/>
        <w:jc w:val="left"/>
        <w:rPr>
          <w:rFonts w:ascii="Times New Roman" w:eastAsia="Times New Roman" w:hAnsi="Times New Roman" w:cs="Times New Roman"/>
          <w:b w:val="0"/>
          <w:i w:val="0"/>
          <w:vanish w:val="0"/>
          <w:color w:val="000000"/>
          <w:sz w:val="24"/>
        </w:rPr>
      </w:pPr>
      <w:bookmarkStart w:id="34" w:name="_Toc256000097"/>
      <w:r>
        <w:rPr>
          <w:rFonts w:ascii="Times New Roman" w:eastAsia="Times New Roman" w:hAnsi="Times New Roman" w:cs="Times New Roman"/>
          <w:b w:val="0"/>
          <w:i w:val="0"/>
          <w:vanish w:val="0"/>
          <w:color w:val="000000"/>
          <w:sz w:val="24"/>
        </w:rPr>
        <w:t>3. Načrt financiranja</w:t>
      </w:r>
      <w:bookmarkEnd w:id="34"/>
    </w:p>
    <w:p w:rsidR="00A77B3E">
      <w:pPr>
        <w:spacing w:before="100" w:after="0"/>
        <w:jc w:val="left"/>
        <w:rPr>
          <w:rFonts w:ascii="Times New Roman" w:eastAsia="Times New Roman" w:hAnsi="Times New Roman" w:cs="Times New Roman"/>
          <w:b w:val="0"/>
          <w:i w:val="0"/>
          <w:vanish w:val="0"/>
          <w:color w:val="000000"/>
          <w:sz w:val="12"/>
        </w:rPr>
      </w:pPr>
      <w:r>
        <w:rPr>
          <w:rFonts w:ascii="Times New Roman" w:eastAsia="Times New Roman" w:hAnsi="Times New Roman" w:cs="Times New Roman"/>
          <w:b w:val="0"/>
          <w:i w:val="0"/>
          <w:vanish w:val="0"/>
          <w:color w:val="000000"/>
          <w:sz w:val="24"/>
        </w:rPr>
        <w:t>Sklic: člen 22(3)(g) uredbe o skupnih določbah</w:t>
      </w:r>
    </w:p>
    <w:p w:rsidR="00A77B3E">
      <w:pPr>
        <w:pStyle w:val="Heading2"/>
        <w:spacing w:before="100" w:after="0"/>
        <w:jc w:val="left"/>
        <w:rPr>
          <w:rFonts w:ascii="TimesNewRoman" w:eastAsia="TimesNewRoman" w:hAnsi="TimesNewRoman" w:cs="TimesNewRoman"/>
          <w:b w:val="0"/>
          <w:i w:val="0"/>
          <w:vanish w:val="0"/>
          <w:color w:val="000000"/>
          <w:sz w:val="24"/>
        </w:rPr>
      </w:pPr>
      <w:bookmarkStart w:id="35" w:name="_Toc256000098"/>
      <w:r>
        <w:rPr>
          <w:rFonts w:ascii="TimesNewRoman" w:eastAsia="TimesNewRoman" w:hAnsi="TimesNewRoman" w:cs="TimesNewRoman"/>
          <w:b w:val="0"/>
          <w:i w:val="0"/>
          <w:vanish w:val="0"/>
          <w:color w:val="000000"/>
          <w:sz w:val="24"/>
        </w:rPr>
        <w:t>3.1. Finančna sredstva po letih</w:t>
      </w:r>
      <w:bookmarkEnd w:id="35"/>
    </w:p>
    <w:p w:rsidR="00A77B3E">
      <w:pPr>
        <w:pStyle w:val="Heading4"/>
        <w:spacing w:before="100" w:after="0"/>
        <w:jc w:val="left"/>
        <w:rPr>
          <w:rFonts w:ascii="TimesNewRoman" w:eastAsia="TimesNewRoman" w:hAnsi="TimesNewRoman" w:cs="TimesNewRoman"/>
          <w:b w:val="0"/>
          <w:i w:val="0"/>
          <w:vanish w:val="0"/>
          <w:color w:val="000000"/>
          <w:sz w:val="24"/>
        </w:rPr>
      </w:pPr>
      <w:bookmarkStart w:id="36" w:name="_Toc256000099"/>
      <w:r>
        <w:rPr>
          <w:rFonts w:ascii="TimesNewRoman" w:eastAsia="TimesNewRoman" w:hAnsi="TimesNewRoman" w:cs="TimesNewRoman"/>
          <w:b w:val="0"/>
          <w:i w:val="0"/>
          <w:vanish w:val="0"/>
          <w:color w:val="000000"/>
          <w:sz w:val="24"/>
        </w:rPr>
        <w:t>Tabela 5: Finančna sredstva po letih</w:t>
      </w:r>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3"/>
        <w:gridCol w:w="1419"/>
        <w:gridCol w:w="1419"/>
        <w:gridCol w:w="1418"/>
        <w:gridCol w:w="1418"/>
        <w:gridCol w:w="1418"/>
        <w:gridCol w:w="1418"/>
        <w:gridCol w:w="1418"/>
        <w:gridCol w:w="1821"/>
      </w:tblGrid>
      <w:tr>
        <w:tblPrEx>
          <w:tblW w:w="5000" w:type="pct"/>
        </w:tblPrEx>
        <w:trPr>
          <w:cantSplit w:val="0"/>
          <w:trHeight w:hRule="auto" w:val="0"/>
          <w:tblHeader/>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Vrsta dodelitve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2021</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2022</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2023</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2024</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2025</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2026</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2027</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w:t>
            </w:r>
          </w:p>
        </w:tc>
      </w:tr>
    </w:tbl>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16"/>
        </w:rPr>
        <w:br w:type="page"/>
      </w:r>
    </w:p>
    <w:p w:rsidR="00A77B3E">
      <w:pPr>
        <w:pStyle w:val="Heading2"/>
        <w:spacing w:before="100" w:after="0"/>
        <w:jc w:val="left"/>
        <w:rPr>
          <w:rFonts w:ascii="TimesNewRoman" w:eastAsia="TimesNewRoman" w:hAnsi="TimesNewRoman" w:cs="TimesNewRoman"/>
          <w:b w:val="0"/>
          <w:i w:val="0"/>
          <w:vanish w:val="0"/>
          <w:color w:val="000000"/>
          <w:sz w:val="24"/>
        </w:rPr>
      </w:pPr>
      <w:bookmarkStart w:id="37" w:name="_Toc256000100"/>
      <w:r>
        <w:rPr>
          <w:rFonts w:ascii="TimesNewRoman" w:eastAsia="TimesNewRoman" w:hAnsi="TimesNewRoman" w:cs="TimesNewRoman"/>
          <w:b w:val="0"/>
          <w:i w:val="0"/>
          <w:vanish w:val="0"/>
          <w:color w:val="000000"/>
          <w:sz w:val="24"/>
        </w:rPr>
        <w:t>3.2. Skupna dodelitev finančnih sredstev</w:t>
      </w:r>
      <w:bookmarkEnd w:id="37"/>
    </w:p>
    <w:p w:rsidR="00A77B3E">
      <w:pPr>
        <w:pStyle w:val="Heading4"/>
        <w:spacing w:before="100" w:after="0"/>
        <w:jc w:val="left"/>
        <w:rPr>
          <w:rFonts w:ascii="TimesNewRoman" w:eastAsia="TimesNewRoman" w:hAnsi="TimesNewRoman" w:cs="TimesNewRoman"/>
          <w:b w:val="0"/>
          <w:i w:val="0"/>
          <w:vanish w:val="0"/>
          <w:color w:val="000000"/>
          <w:sz w:val="24"/>
        </w:rPr>
      </w:pPr>
      <w:bookmarkStart w:id="38" w:name="_Toc256000101"/>
      <w:r>
        <w:rPr>
          <w:rFonts w:ascii="TimesNewRoman" w:eastAsia="TimesNewRoman" w:hAnsi="TimesNewRoman" w:cs="TimesNewRoman"/>
          <w:b w:val="0"/>
          <w:i w:val="0"/>
          <w:vanish w:val="0"/>
          <w:color w:val="000000"/>
          <w:sz w:val="24"/>
        </w:rPr>
        <w:t>Tabela 6: Skupna dodelitev finančnih sredstev po skladih in nacionalni prispevek</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061"/>
        <w:gridCol w:w="1531"/>
        <w:gridCol w:w="1530"/>
        <w:gridCol w:w="1530"/>
        <w:gridCol w:w="1530"/>
        <w:gridCol w:w="1530"/>
        <w:gridCol w:w="1530"/>
        <w:gridCol w:w="1530"/>
        <w:gridCol w:w="1530"/>
      </w:tblGrid>
      <w:tr>
        <w:tblPrEx>
          <w:tblW w:w="5000" w:type="pct"/>
        </w:tblPrEx>
        <w:trPr>
          <w:cantSplit w:val="0"/>
          <w:trHeight w:hRule="auto" w:val="0"/>
          <w:tblHeader/>
        </w:trPr>
        <w:tc>
          <w:tcPr>
            <w:tcW w:w="10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Specifični cilji (SC)</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Vrsta ukrepa</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Osnova za izračun podpore Unije (skupne ali javne)</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Prispevek Unije (a)</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Nacionalni prispevek (b) = (c) + (d)</w:t>
            </w:r>
          </w:p>
        </w:tc>
        <w:tc>
          <w:tcPr>
            <w:tcW w:w="500" w:type="pct"/>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Okvirna razčlenitev nacionalnega prispevka</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 (e) = (a) + (b)</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Stopnja sofinanciranja (f) = (a) / (e)</w:t>
            </w:r>
          </w:p>
        </w:tc>
      </w:tr>
      <w:tr>
        <w:tblPrEx>
          <w:tblW w:w="5000" w:type="pct"/>
        </w:tblPrEx>
        <w:trPr>
          <w:cantSplit w:val="0"/>
          <w:trHeight w:hRule="auto" w:val="0"/>
          <w:tblHeader/>
        </w:trPr>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Javno (c)</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Zasebno (d)</w:t>
            </w: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Skupni evropski azilni sistem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Redni ukrepi</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12.934.848,21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4.311.616,12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4.311.616,12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17.246.464,33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74,9999997826%</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Skupni evropski azilni sistem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Ukrepi iz Priloge IV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7.770.000,00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863.333,34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863.333,34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8.633.333,34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89,9999999305%</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Skupni evropski azilni sistem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Operativna podpora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3.006.775,00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3.006.775,00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100,0000000000%</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Skupni evropski azilni sistem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Pakt in posebni ukrep za Ukrajino</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21.518.221,70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2.390.913,53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2.390.913,53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23.909.135,23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89,9999999707%</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 Skupni evropski azilni sistem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45.229.844,91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7.565.862,99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7.565.862,99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52.795.707,90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85,6695491150%</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Zakonite migracije in vključevanje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Redni ukrepi</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16.888.316,79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5.629.438,97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5.629.438,97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22.517.755,76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74,9999998668%</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Zakonite migracije in vključevanje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Ukrepi iz Priloge IV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Zakonite migracije in vključevanje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Operativna podpora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700.000,00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700.000,00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100,0000000000%</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 Zakonite migracije in vključevanje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17.588.316,79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5.629.438,97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5.629.438,97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23.217.755,76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75,7537333574%</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Vrnitev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Redni ukrepi</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8.238.796,42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2.746.265,50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2.746.265,50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10.985.061,92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74,9999998179%</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Vrnitev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Ukrepi iz Priloge IV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466.740,00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51.860,00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51.860,00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518.600,00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90,0000000000%</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 Vrnitev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8.705.536,42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2.798.125,50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2.798.125,50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11.503.661,92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75,6762192817%</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Solidarnost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Redni ukrepi</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Solidarnost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Ukrepi iz Priloge IV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Solidarnost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Preselitev in humanitarni sprejem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100,0000000000%</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Solidarnost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Mednarodna zaščita (Premestitev 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100,0000000000%</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 Solidarnost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550.000,00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550.000,00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100,0000000000%</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Tehnična pomoč – pavšalna stopnja(člen 36(5) uredbe o skupnih določbah)</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4.324.421,88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4.324.421,88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100,0000000000%</w:t>
            </w:r>
          </w:p>
        </w:tc>
      </w:tr>
      <w:tr>
        <w:tblPrEx>
          <w:tblW w:w="5000" w:type="pct"/>
        </w:tblPrEx>
        <w:trPr>
          <w:cantSplit w:val="0"/>
          <w:trHeight w:hRule="auto" w:val="0"/>
          <w:tblHeader w:val="0"/>
        </w:trPr>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Skupaj</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76.398.120,00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15.993.427,46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15.993.427,46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92.391.547,46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82,6895122988%</w:t>
            </w:r>
          </w:p>
        </w:tc>
      </w:tr>
    </w:tbl>
    <w:p w:rsidR="00A77B3E">
      <w:pPr>
        <w:pStyle w:val="Heading4"/>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16"/>
        </w:rPr>
        <w:br w:type="page"/>
      </w:r>
      <w:bookmarkStart w:id="39" w:name="_Toc256000102"/>
      <w:r>
        <w:rPr>
          <w:rFonts w:ascii="TimesNewRoman" w:eastAsia="TimesNewRoman" w:hAnsi="TimesNewRoman" w:cs="TimesNewRoman"/>
          <w:b w:val="0"/>
          <w:i w:val="0"/>
          <w:vanish w:val="0"/>
          <w:color w:val="000000"/>
          <w:sz w:val="24"/>
        </w:rPr>
        <w:t>Tabela 6A: Načrt zaveze</w:t>
      </w:r>
      <w:bookmarkEnd w:id="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543"/>
        <w:gridCol w:w="537"/>
        <w:gridCol w:w="537"/>
        <w:gridCol w:w="537"/>
        <w:gridCol w:w="537"/>
        <w:gridCol w:w="537"/>
        <w:gridCol w:w="537"/>
        <w:gridCol w:w="537"/>
      </w:tblGrid>
      <w:tr>
        <w:tblPrEx>
          <w:tblW w:w="5000" w:type="pct"/>
        </w:tblPrEx>
        <w:trPr>
          <w:cantSplit w:val="0"/>
          <w:trHeight w:hRule="auto" w:val="0"/>
          <w:tblHeader/>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NewRoman" w:eastAsia="TimesNewRoman" w:hAnsi="TimesNewRoman" w:cs="TimesNewRoman"/>
                <w:b w:val="0"/>
                <w:i w:val="0"/>
                <w:vanish w:val="0"/>
                <w:color w:val="000000"/>
                <w:sz w:val="16"/>
              </w:rPr>
            </w:pPr>
          </w:p>
        </w:tc>
        <w:tc>
          <w:tcPr>
            <w:gridSpan w:val="7"/>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Število oseb na leto</w:t>
            </w:r>
          </w:p>
        </w:tc>
      </w:tr>
      <w:tr>
        <w:tblPrEx>
          <w:tblW w:w="5000" w:type="pct"/>
        </w:tblPrEx>
        <w:trPr>
          <w:cantSplit w:val="0"/>
          <w:trHeight w:hRule="auto" w:val="0"/>
          <w:tblHeader/>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Kategorija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2021</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2022</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2023</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2024</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2025</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2026</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2027</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Preselitev</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Humanitarni sprejem v skladu s členom 19(2) uredbe o Skladu za azil, migracije in vključevanje (AMIF)</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Humanitarni sprejem ranljivih oseb v skladu s členom 19(3) uredbe o Skladu za azil, migracije in vključevanje (AMIF)</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National resettlement schemes in line with Article 14(2) of Union Resettlement and Humanitarian Admission Framework Regulation</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National resettlement schemes - vulnerable in line with Article 14(2) of Union Resettlement and Humanitarian Admission Framework Regulation</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Premestitev prosilcev za mednarodno zaščito ali upravičencev do mednarodne zaščite (prerazporeditev v)</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r>
              <w:rPr>
                <w:rFonts w:ascii="TimesNewRoman" w:eastAsia="TimesNewRoman" w:hAnsi="TimesNewRoman" w:cs="TimesNewRoman"/>
                <w:b w:val="0"/>
                <w:i w:val="0"/>
                <w:vanish w:val="0"/>
                <w:color w:val="000000"/>
                <w:sz w:val="16"/>
              </w:rPr>
              <w:t>5</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rPr>
            </w:pPr>
          </w:p>
        </w:tc>
      </w:tr>
    </w:tbl>
    <w:p w:rsidR="00A77B3E">
      <w:pPr>
        <w:spacing w:before="100" w:after="0"/>
        <w:jc w:val="left"/>
        <w:rPr>
          <w:rFonts w:ascii="TimesNewRoman" w:eastAsia="TimesNewRoman" w:hAnsi="TimesNewRoman" w:cs="TimesNewRoman"/>
          <w:b w:val="0"/>
          <w:i w:val="0"/>
          <w:vanish w:val="0"/>
          <w:color w:val="000000"/>
          <w:sz w:val="24"/>
        </w:rPr>
      </w:pPr>
      <w:r>
        <w:rPr>
          <w:rFonts w:ascii="TimesNewRoman" w:eastAsia="TimesNewRoman" w:hAnsi="TimesNewRoman" w:cs="TimesNewRoman"/>
          <w:b w:val="0"/>
          <w:i w:val="0"/>
          <w:vanish w:val="0"/>
          <w:color w:val="000000"/>
          <w:sz w:val="16"/>
        </w:rPr>
        <w:br w:type="page"/>
      </w:r>
    </w:p>
    <w:p w:rsidR="00A77B3E">
      <w:pPr>
        <w:pStyle w:val="Heading2"/>
        <w:spacing w:before="100" w:after="0"/>
        <w:jc w:val="left"/>
        <w:rPr>
          <w:rFonts w:ascii="TimesNewRoman" w:eastAsia="TimesNewRoman" w:hAnsi="TimesNewRoman" w:cs="TimesNewRoman"/>
          <w:b w:val="0"/>
          <w:i w:val="0"/>
          <w:vanish w:val="0"/>
          <w:color w:val="000000"/>
          <w:sz w:val="24"/>
        </w:rPr>
      </w:pPr>
      <w:bookmarkStart w:id="40" w:name="_Toc256000103"/>
      <w:r>
        <w:rPr>
          <w:rFonts w:ascii="TimesNewRoman" w:eastAsia="TimesNewRoman" w:hAnsi="TimesNewRoman" w:cs="TimesNewRoman"/>
          <w:b w:val="0"/>
          <w:i w:val="0"/>
          <w:vanish w:val="0"/>
          <w:color w:val="000000"/>
          <w:sz w:val="24"/>
        </w:rPr>
        <w:t>3.3. Prerazporeditve</w:t>
      </w:r>
      <w:bookmarkEnd w:id="40"/>
    </w:p>
    <w:p w:rsidR="00A77B3E">
      <w:pPr>
        <w:spacing w:before="100" w:after="0"/>
        <w:jc w:val="left"/>
        <w:rPr>
          <w:rFonts w:ascii="TimesNewRoman" w:eastAsia="TimesNewRoman" w:hAnsi="TimesNewRoman" w:cs="TimesNewRoman"/>
          <w:b w:val="0"/>
          <w:i w:val="0"/>
          <w:vanish w:val="0"/>
          <w:color w:val="000000"/>
          <w:sz w:val="0"/>
          <w:vertAlign w:val="baseline"/>
        </w:rPr>
      </w:pPr>
      <w:r>
        <w:rPr>
          <w:rFonts w:ascii="TimesNewRoman" w:eastAsia="TimesNewRoman" w:hAnsi="TimesNewRoman" w:cs="TimesNewRoman"/>
          <w:b w:val="0"/>
          <w:i w:val="0"/>
          <w:vanish w:val="0"/>
          <w:color w:val="000000"/>
          <w:sz w:val="24"/>
        </w:rPr>
        <w:t>Tabela 7: Prerazporeditve med skladi z deljenim upravljanjem</w:t>
      </w:r>
      <w:r>
        <w:rPr>
          <w:rFonts w:ascii="TimesNewRoman" w:eastAsia="TimesNewRoman" w:hAnsi="TimesNewRoman" w:cs="TimesNewRoman"/>
          <w:b w:val="0"/>
          <w:i w:val="0"/>
          <w:vanish w:val="0"/>
          <w:color w:val="000000"/>
          <w:sz w:val="24"/>
          <w:vertAlign w:val="superscript"/>
        </w:rPr>
        <w:t>1</w:t>
      </w:r>
    </w:p>
    <w:p w:rsidR="00A77B3E">
      <w:pPr>
        <w:spacing w:before="100" w:after="0"/>
        <w:jc w:val="left"/>
        <w:rPr>
          <w:rFonts w:ascii="TimesNewRoman" w:eastAsia="TimesNewRoman" w:hAnsi="TimesNewRoman" w:cs="TimesNewRoman"/>
          <w:b w:val="0"/>
          <w:i w:val="0"/>
          <w:vanish w:val="0"/>
          <w:color w:val="000000"/>
          <w:sz w:val="12"/>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384"/>
        <w:gridCol w:w="1101"/>
        <w:gridCol w:w="1392"/>
        <w:gridCol w:w="1321"/>
        <w:gridCol w:w="1226"/>
        <w:gridCol w:w="3164"/>
        <w:gridCol w:w="1272"/>
        <w:gridCol w:w="1442"/>
      </w:tblGrid>
      <w:tr>
        <w:tblPrEx>
          <w:tblW w:w="5000" w:type="pct"/>
        </w:tblPrEx>
        <w:trPr>
          <w:cantSplit w:val="0"/>
          <w:trHeight w:val="160"/>
          <w:tblHeader/>
        </w:trPr>
        <w:tc>
          <w:tcPr>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24"/>
                <w:vertAlign w:val="baseline"/>
              </w:rPr>
            </w:pPr>
            <w:r>
              <w:rPr>
                <w:rFonts w:ascii="TimesNewRoman" w:eastAsia="TimesNewRoman" w:hAnsi="TimesNewRoman" w:cs="TimesNewRoman"/>
                <w:b w:val="0"/>
                <w:i w:val="0"/>
                <w:vanish w:val="0"/>
                <w:color w:val="000000"/>
                <w:sz w:val="24"/>
                <w:vertAlign w:val="baseline"/>
              </w:rPr>
              <w:t>Prerazporeditveni sklad</w:t>
            </w:r>
          </w:p>
        </w:tc>
        <w:tc>
          <w:tcPr>
            <w:gridSpan w:val="7"/>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24"/>
                <w:vertAlign w:val="baseline"/>
              </w:rPr>
            </w:pPr>
            <w:r>
              <w:rPr>
                <w:rFonts w:ascii="TimesNewRoman" w:eastAsia="TimesNewRoman" w:hAnsi="TimesNewRoman" w:cs="TimesNewRoman"/>
                <w:b w:val="0"/>
                <w:i w:val="0"/>
                <w:vanish w:val="0"/>
                <w:color w:val="000000"/>
                <w:sz w:val="24"/>
                <w:vertAlign w:val="baseline"/>
              </w:rPr>
              <w:t>Sklad prejemnik</w:t>
            </w:r>
          </w:p>
        </w:tc>
      </w:tr>
      <w:tr>
        <w:tblPrEx>
          <w:tblW w:w="5000" w:type="pct"/>
        </w:tblPrEx>
        <w:trPr>
          <w:cantSplit w:val="0"/>
          <w:trHeight w:val="160"/>
          <w:tblHeader/>
        </w:trPr>
        <w:tc>
          <w:tcPr>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24"/>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24"/>
                <w:vertAlign w:val="baseline"/>
              </w:rPr>
            </w:pPr>
            <w:r>
              <w:rPr>
                <w:rFonts w:ascii="TimesNewRoman" w:eastAsia="TimesNewRoman" w:hAnsi="TimesNewRoman" w:cs="TimesNewRoman"/>
                <w:b w:val="0"/>
                <w:i w:val="0"/>
                <w:vanish w:val="0"/>
                <w:color w:val="000000"/>
                <w:sz w:val="24"/>
                <w:vertAlign w:val="baseline"/>
              </w:rPr>
              <w:t>SNV</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24"/>
                <w:vertAlign w:val="baseline"/>
              </w:rPr>
            </w:pPr>
            <w:r>
              <w:rPr>
                <w:rFonts w:ascii="TimesNewRoman" w:eastAsia="TimesNewRoman" w:hAnsi="TimesNewRoman" w:cs="TimesNewRoman"/>
                <w:b w:val="0"/>
                <w:i w:val="0"/>
                <w:vanish w:val="0"/>
                <w:color w:val="000000"/>
                <w:sz w:val="24"/>
                <w:vertAlign w:val="baseline"/>
              </w:rPr>
              <w:t>IUMV</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24"/>
                <w:vertAlign w:val="baseline"/>
              </w:rPr>
            </w:pPr>
            <w:r>
              <w:rPr>
                <w:rFonts w:ascii="TimesNewRoman" w:eastAsia="TimesNewRoman" w:hAnsi="TimesNewRoman" w:cs="TimesNewRoman"/>
                <w:b w:val="0"/>
                <w:i w:val="0"/>
                <w:vanish w:val="0"/>
                <w:color w:val="000000"/>
                <w:sz w:val="24"/>
                <w:vertAlign w:val="baseline"/>
              </w:rPr>
              <w:t>ESRR</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24"/>
                <w:vertAlign w:val="baseline"/>
              </w:rPr>
            </w:pPr>
            <w:r>
              <w:rPr>
                <w:rFonts w:ascii="TimesNewRoman" w:eastAsia="TimesNewRoman" w:hAnsi="TimesNewRoman" w:cs="TimesNewRoman"/>
                <w:b w:val="0"/>
                <w:i w:val="0"/>
                <w:vanish w:val="0"/>
                <w:color w:val="000000"/>
                <w:sz w:val="24"/>
                <w:vertAlign w:val="baseline"/>
              </w:rPr>
              <w:t>ESS+</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24"/>
                <w:vertAlign w:val="baseline"/>
              </w:rPr>
            </w:pPr>
            <w:r>
              <w:rPr>
                <w:rFonts w:ascii="TimesNewRoman" w:eastAsia="TimesNewRoman" w:hAnsi="TimesNewRoman" w:cs="TimesNewRoman"/>
                <w:b w:val="0"/>
                <w:i w:val="0"/>
                <w:vanish w:val="0"/>
                <w:color w:val="000000"/>
                <w:sz w:val="24"/>
                <w:vertAlign w:val="baseline"/>
              </w:rPr>
              <w:t>Kohezijski sklad</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24"/>
                <w:vertAlign w:val="baseline"/>
              </w:rPr>
            </w:pPr>
            <w:r>
              <w:rPr>
                <w:rFonts w:ascii="TimesNewRoman" w:eastAsia="TimesNewRoman" w:hAnsi="TimesNewRoman" w:cs="TimesNewRoman"/>
                <w:b w:val="0"/>
                <w:i w:val="0"/>
                <w:vanish w:val="0"/>
                <w:color w:val="000000"/>
                <w:sz w:val="24"/>
                <w:vertAlign w:val="baseline"/>
              </w:rPr>
              <w:t>ESPR</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24"/>
                <w:vertAlign w:val="baseline"/>
              </w:rPr>
            </w:pPr>
            <w:r>
              <w:rPr>
                <w:rFonts w:ascii="TimesNewRoman" w:eastAsia="TimesNewRoman" w:hAnsi="TimesNewRoman" w:cs="TimesNewRoman"/>
                <w:b w:val="0"/>
                <w:i w:val="0"/>
                <w:vanish w:val="0"/>
                <w:color w:val="000000"/>
                <w:sz w:val="24"/>
                <w:vertAlign w:val="baseline"/>
              </w:rPr>
              <w:t>Skupaj</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24"/>
                <w:vertAlign w:val="baseline"/>
              </w:rPr>
            </w:pPr>
            <w:r>
              <w:rPr>
                <w:rFonts w:ascii="TimesNewRoman" w:eastAsia="TimesNewRoman" w:hAnsi="TimesNewRoman" w:cs="TimesNewRoman"/>
                <w:b w:val="0"/>
                <w:i w:val="0"/>
                <w:vanish w:val="0"/>
                <w:color w:val="000000"/>
                <w:sz w:val="24"/>
                <w:vertAlign w:val="baseline"/>
              </w:rPr>
              <w:t>AMIF</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NewRoman" w:eastAsia="TimesNewRoman" w:hAnsi="TimesNewRoman" w:cs="TimesNewRoman"/>
                <w:b w:val="0"/>
                <w:i w:val="0"/>
                <w:vanish w:val="0"/>
                <w:color w:val="000000"/>
                <w:sz w:val="24"/>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NewRoman" w:eastAsia="TimesNewRoman" w:hAnsi="TimesNewRoman" w:cs="TimesNewRoman"/>
                <w:b w:val="0"/>
                <w:i w:val="0"/>
                <w:vanish w:val="0"/>
                <w:color w:val="000000"/>
                <w:sz w:val="24"/>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NewRoman" w:eastAsia="TimesNewRoman" w:hAnsi="TimesNewRoman" w:cs="TimesNewRoman"/>
                <w:b w:val="0"/>
                <w:i w:val="0"/>
                <w:vanish w:val="0"/>
                <w:color w:val="000000"/>
                <w:sz w:val="24"/>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NewRoman" w:eastAsia="TimesNewRoman" w:hAnsi="TimesNewRoman" w:cs="TimesNewRoman"/>
                <w:b w:val="0"/>
                <w:i w:val="0"/>
                <w:vanish w:val="0"/>
                <w:color w:val="000000"/>
                <w:sz w:val="24"/>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NewRoman" w:eastAsia="TimesNewRoman" w:hAnsi="TimesNewRoman" w:cs="TimesNewRoman"/>
                <w:b w:val="0"/>
                <w:i w:val="0"/>
                <w:vanish w:val="0"/>
                <w:color w:val="000000"/>
                <w:sz w:val="24"/>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NewRoman" w:eastAsia="TimesNewRoman" w:hAnsi="TimesNewRoman" w:cs="TimesNewRoman"/>
                <w:b w:val="0"/>
                <w:i w:val="0"/>
                <w:vanish w:val="0"/>
                <w:color w:val="000000"/>
                <w:sz w:val="24"/>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NewRoman" w:eastAsia="TimesNewRoman" w:hAnsi="TimesNewRoman" w:cs="TimesNewRoman"/>
                <w:b w:val="0"/>
                <w:i w:val="0"/>
                <w:vanish w:val="0"/>
                <w:color w:val="000000"/>
                <w:sz w:val="24"/>
                <w:vertAlign w:val="baseline"/>
              </w:rPr>
            </w:pPr>
          </w:p>
        </w:tc>
      </w:tr>
    </w:tbl>
    <w:p w:rsidR="00A77B3E">
      <w:pPr>
        <w:spacing w:before="100" w:after="0"/>
        <w:jc w:val="left"/>
        <w:rPr>
          <w:rFonts w:ascii="TimesNewRoman" w:eastAsia="TimesNewRoman" w:hAnsi="TimesNewRoman" w:cs="TimesNewRoman"/>
          <w:b w:val="0"/>
          <w:i w:val="0"/>
          <w:vanish w:val="0"/>
          <w:color w:val="000000"/>
          <w:sz w:val="24"/>
          <w:vertAlign w:val="baseline"/>
        </w:rPr>
      </w:pPr>
      <w:r>
        <w:rPr>
          <w:rFonts w:ascii="TimesNewRoman" w:eastAsia="TimesNewRoman" w:hAnsi="TimesNewRoman" w:cs="TimesNewRoman"/>
          <w:b w:val="0"/>
          <w:i w:val="0"/>
          <w:vanish w:val="0"/>
          <w:color w:val="000000"/>
          <w:sz w:val="24"/>
          <w:vertAlign w:val="superscript"/>
        </w:rPr>
        <w:t>1</w:t>
      </w:r>
      <w:r>
        <w:rPr>
          <w:rFonts w:ascii="TimesNewRoman" w:eastAsia="TimesNewRoman" w:hAnsi="TimesNewRoman" w:cs="TimesNewRoman"/>
          <w:b w:val="0"/>
          <w:i w:val="0"/>
          <w:vanish w:val="0"/>
          <w:color w:val="000000"/>
          <w:sz w:val="24"/>
          <w:vertAlign w:val="baseline"/>
        </w:rPr>
        <w:t>Kumulativni zneski za vse prerazporeditve v programskem obdobju</w:t>
      </w:r>
    </w:p>
    <w:p w:rsidR="00A77B3E">
      <w:pPr>
        <w:spacing w:before="100" w:after="0"/>
        <w:jc w:val="left"/>
        <w:rPr>
          <w:rFonts w:ascii="TimesNewRoman" w:eastAsia="TimesNewRoman" w:hAnsi="TimesNewRoman" w:cs="TimesNewRoman"/>
          <w:b w:val="0"/>
          <w:i w:val="0"/>
          <w:vanish w:val="0"/>
          <w:color w:val="000000"/>
          <w:sz w:val="0"/>
          <w:vertAlign w:val="baseline"/>
        </w:rPr>
      </w:pPr>
      <w:r>
        <w:rPr>
          <w:rFonts w:ascii="TimesNewRoman" w:eastAsia="TimesNewRoman" w:hAnsi="TimesNewRoman" w:cs="TimesNewRoman"/>
          <w:b w:val="0"/>
          <w:i w:val="0"/>
          <w:vanish w:val="0"/>
          <w:color w:val="000000"/>
          <w:sz w:val="24"/>
          <w:vertAlign w:val="baseline"/>
        </w:rPr>
        <w:br w:type="page"/>
      </w:r>
      <w:r>
        <w:rPr>
          <w:rFonts w:ascii="TimesNewRoman" w:eastAsia="TimesNewRoman" w:hAnsi="TimesNewRoman" w:cs="TimesNewRoman"/>
          <w:b w:val="0"/>
          <w:i w:val="0"/>
          <w:vanish w:val="0"/>
          <w:color w:val="000000"/>
          <w:sz w:val="24"/>
          <w:vertAlign w:val="baseline"/>
        </w:rPr>
        <w:t>Tabela 8: Prerazporeditve v instrumente v okviru neposrednega ali posrednega upravljanja</w:t>
      </w:r>
      <w:r>
        <w:rPr>
          <w:rFonts w:ascii="TimesNewRoman" w:eastAsia="TimesNewRoman" w:hAnsi="TimesNewRoman" w:cs="TimesNewRoman"/>
          <w:b w:val="0"/>
          <w:i w:val="0"/>
          <w:vanish w:val="0"/>
          <w:color w:val="000000"/>
          <w:sz w:val="24"/>
          <w:vertAlign w:val="superscript"/>
        </w:rPr>
        <w:t>1</w:t>
      </w:r>
    </w:p>
    <w:p w:rsidR="00A77B3E">
      <w:pPr>
        <w:spacing w:before="100" w:after="0"/>
        <w:jc w:val="left"/>
        <w:rPr>
          <w:rFonts w:ascii="TimesNewRoman" w:eastAsia="TimesNewRoman" w:hAnsi="TimesNewRoman" w:cs="TimesNewRoman"/>
          <w:b w:val="0"/>
          <w:i w:val="0"/>
          <w:vanish w:val="0"/>
          <w:color w:val="000000"/>
          <w:sz w:val="12"/>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016"/>
        <w:gridCol w:w="10286"/>
      </w:tblGrid>
      <w:tr>
        <w:tblPrEx>
          <w:tblW w:w="5000" w:type="pct"/>
        </w:tblPrEx>
        <w:trPr>
          <w:cantSplit w:val="0"/>
          <w:trHeight w:hRule="auto" w:val="0"/>
          <w:tblHeader/>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24"/>
                <w:vertAlign w:val="baseline"/>
              </w:rPr>
            </w:pPr>
            <w:r>
              <w:rPr>
                <w:rFonts w:ascii="TimesNewRoman" w:eastAsia="TimesNewRoman" w:hAnsi="TimesNewRoman" w:cs="TimesNewRoman"/>
                <w:b w:val="0"/>
                <w:i w:val="0"/>
                <w:vanish w:val="0"/>
                <w:color w:val="000000"/>
                <w:sz w:val="24"/>
                <w:vertAlign w:val="baseline"/>
              </w:rPr>
              <w:t>Instrument</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24"/>
                <w:vertAlign w:val="baseline"/>
              </w:rPr>
            </w:pPr>
            <w:r>
              <w:rPr>
                <w:rFonts w:ascii="TimesNewRoman" w:eastAsia="TimesNewRoman" w:hAnsi="TimesNewRoman" w:cs="TimesNewRoman"/>
                <w:b w:val="0"/>
                <w:i w:val="0"/>
                <w:vanish w:val="0"/>
                <w:color w:val="000000"/>
                <w:sz w:val="24"/>
                <w:vertAlign w:val="baseline"/>
              </w:rPr>
              <w:t>Znesek prerazporeditve</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24"/>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right"/>
              <w:rPr>
                <w:rFonts w:ascii="TimesNewRoman" w:eastAsia="TimesNewRoman" w:hAnsi="TimesNewRoman" w:cs="TimesNewRoman"/>
                <w:b w:val="0"/>
                <w:i w:val="0"/>
                <w:vanish w:val="0"/>
                <w:color w:val="000000"/>
                <w:sz w:val="24"/>
                <w:vertAlign w:val="baseline"/>
              </w:rPr>
            </w:pPr>
            <w:r>
              <w:rPr>
                <w:rFonts w:ascii="TimesNewRoman" w:eastAsia="TimesNewRoman" w:hAnsi="TimesNewRoman" w:cs="TimesNewRoman"/>
                <w:b w:val="0"/>
                <w:i w:val="0"/>
                <w:vanish w:val="0"/>
                <w:color w:val="000000"/>
                <w:sz w:val="24"/>
                <w:vertAlign w:val="baseline"/>
              </w:rPr>
              <w:t>0,00</w:t>
            </w:r>
          </w:p>
        </w:tc>
      </w:tr>
    </w:tbl>
    <w:p w:rsidR="00A77B3E">
      <w:pPr>
        <w:spacing w:before="100" w:after="0"/>
        <w:jc w:val="left"/>
        <w:rPr>
          <w:rFonts w:ascii="TimesNewRoman" w:eastAsia="TimesNewRoman" w:hAnsi="TimesNewRoman" w:cs="TimesNewRoman"/>
          <w:b w:val="0"/>
          <w:i w:val="0"/>
          <w:vanish w:val="0"/>
          <w:color w:val="000000"/>
          <w:sz w:val="24"/>
          <w:vertAlign w:val="baseline"/>
        </w:rPr>
        <w:sectPr>
          <w:headerReference w:type="even" r:id="rId70"/>
          <w:headerReference w:type="default" r:id="rId71"/>
          <w:footerReference w:type="even" r:id="rId72"/>
          <w:footerReference w:type="default" r:id="rId73"/>
          <w:headerReference w:type="first" r:id="rId74"/>
          <w:footerReference w:type="first" r:id="rId75"/>
          <w:type w:val="nextPage"/>
          <w:pgSz w:w="16838" w:h="11906" w:orient="landscape"/>
          <w:pgMar w:top="720" w:right="720" w:bottom="864" w:left="936" w:header="288" w:footer="72" w:gutter="0"/>
          <w:cols w:space="708"/>
          <w:noEndnote/>
          <w:docGrid w:linePitch="360"/>
        </w:sectPr>
      </w:pPr>
      <w:r>
        <w:rPr>
          <w:rFonts w:ascii="TimesNewRoman" w:eastAsia="TimesNewRoman" w:hAnsi="TimesNewRoman" w:cs="TimesNewRoman"/>
          <w:b w:val="0"/>
          <w:i w:val="0"/>
          <w:vanish w:val="0"/>
          <w:color w:val="000000"/>
          <w:sz w:val="24"/>
          <w:vertAlign w:val="superscript"/>
        </w:rPr>
        <w:t>1</w:t>
      </w:r>
      <w:r>
        <w:rPr>
          <w:rFonts w:ascii="TimesNewRoman" w:eastAsia="TimesNewRoman" w:hAnsi="TimesNewRoman" w:cs="TimesNewRoman"/>
          <w:b w:val="0"/>
          <w:i w:val="0"/>
          <w:vanish w:val="0"/>
          <w:color w:val="000000"/>
          <w:sz w:val="24"/>
          <w:vertAlign w:val="baseline"/>
        </w:rPr>
        <w:t>Kumulativni zneski za vse prerazporeditve v programskem obdobju</w:t>
      </w:r>
    </w:p>
    <w:p w:rsidR="00A77B3E">
      <w:pPr>
        <w:pStyle w:val="Heading1"/>
        <w:spacing w:before="100" w:after="0"/>
        <w:jc w:val="left"/>
        <w:rPr>
          <w:rFonts w:ascii="Times New Roman" w:eastAsia="Times New Roman" w:hAnsi="Times New Roman" w:cs="Times New Roman"/>
          <w:b w:val="0"/>
          <w:i w:val="0"/>
          <w:vanish w:val="0"/>
          <w:color w:val="000000"/>
          <w:sz w:val="24"/>
          <w:vertAlign w:val="baseline"/>
        </w:rPr>
      </w:pPr>
      <w:bookmarkStart w:id="41" w:name="_Toc256000104"/>
      <w:r>
        <w:rPr>
          <w:rFonts w:ascii="Times New Roman" w:eastAsia="Times New Roman" w:hAnsi="Times New Roman" w:cs="Times New Roman"/>
          <w:b w:val="0"/>
          <w:i w:val="0"/>
          <w:vanish w:val="0"/>
          <w:color w:val="000000"/>
          <w:sz w:val="24"/>
          <w:vertAlign w:val="baseline"/>
        </w:rPr>
        <w:t>4. Omogočitveni pogoji</w:t>
      </w:r>
      <w:bookmarkEnd w:id="41"/>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Sklic: člen 22(3)(i) uredbe o skupnih določbah</w:t>
      </w:r>
    </w:p>
    <w:p w:rsidR="00A77B3E">
      <w:pPr>
        <w:pStyle w:val="Heading2"/>
        <w:spacing w:before="100" w:after="0"/>
        <w:jc w:val="left"/>
        <w:rPr>
          <w:rFonts w:ascii="Times New Roman" w:eastAsia="Times New Roman" w:hAnsi="Times New Roman" w:cs="Times New Roman"/>
          <w:b w:val="0"/>
          <w:i w:val="0"/>
          <w:vanish w:val="0"/>
          <w:color w:val="000000"/>
          <w:sz w:val="24"/>
          <w:vertAlign w:val="baseline"/>
        </w:rPr>
      </w:pPr>
      <w:bookmarkStart w:id="42" w:name="_Toc256000105"/>
      <w:r>
        <w:rPr>
          <w:rFonts w:ascii="Times New Roman" w:eastAsia="Times New Roman" w:hAnsi="Times New Roman" w:cs="Times New Roman"/>
          <w:b w:val="0"/>
          <w:i w:val="0"/>
          <w:vanish w:val="0"/>
          <w:color w:val="000000"/>
          <w:sz w:val="24"/>
          <w:vertAlign w:val="baseline"/>
        </w:rPr>
        <w:t>Tabela 9: Horizontalni omogočitveni pogoji</w:t>
      </w:r>
      <w:bookmarkEnd w:id="42"/>
    </w:p>
    <w:p w:rsidR="00A77B3E">
      <w:pPr>
        <w:spacing w:before="100" w:after="0"/>
        <w:jc w:val="left"/>
        <w:rPr>
          <w:rFonts w:ascii="Times New Roman" w:eastAsia="Times New Roman" w:hAnsi="Times New Roman" w:cs="Times New Roman"/>
          <w:b w:val="0"/>
          <w:i w:val="0"/>
          <w:vanish w:val="0"/>
          <w:color w:val="000000"/>
          <w:sz w:val="0"/>
          <w:vertAlign w:val="baseli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600"/>
        <w:gridCol w:w="1600"/>
        <w:gridCol w:w="3600"/>
        <w:gridCol w:w="1600"/>
        <w:gridCol w:w="3600"/>
        <w:gridCol w:w="3600"/>
      </w:tblGrid>
      <w:tr>
        <w:tblPrEx>
          <w:tblW w:w="0" w:type="auto"/>
          <w:tblLayout w:type="fixed"/>
        </w:tblPrEx>
        <w:trPr>
          <w:cantSplit w:val="0"/>
          <w:trHeight w:hRule="auto" w:val="0"/>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Omogočitveni pogoj</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Izpolnjevanje omogočitvenega pogoja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Merila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Izpolnjevanje meril</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Sklic na zadevne dokumente</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Utemeljitev</w:t>
            </w:r>
          </w:p>
        </w:tc>
      </w:tr>
      <w:tr>
        <w:tblPrEx>
          <w:tblW w:w="0" w:type="auto"/>
          <w:tblLayout w:type="fixed"/>
        </w:tblPrEx>
        <w:trPr>
          <w:cantSplit w:val="0"/>
          <w:trHeight w:hRule="auto" w:val="0"/>
          <w:tblHeader w:val="0"/>
        </w:trPr>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1. Učinkoviti mehanizmi spremljanja trga javnih naročil</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Vzpostavljeni so mehanizmi za spremljanje, ki zajemajo vse javne pogodbe in njihova javna naročila v okviru skladov v skladu z zakonodajo Unije o javnih naročilih. Ta zahteva vključuje:1. ureditve za zagotovitev zbiranja učinkovitih in zanesljivih podatkov o postopkih javnega naročanja nad mejnimi vrednostmi Unije v skladu z obveznostmi poročanja iz členov 83 in 84 Direktive 2014/24/EU ter členov 99 in 100 Direktive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 xml:space="preserve">- Zakon o javnem naročanju (ZJN-3) </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(http://www.pisrs.si/Pis.web/pregledPredpisa?id=ZAKO7086)</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 Pravilnik o vrstah in načinu zbiranja podatkov za letno statistično poročilo o oddaji javnih naročil</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(http://www.pisrs.si/Pis.web/pregledPredpisa?id=PRAV12700)</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 xml:space="preserve">- Statistična poročila za vsako posamezno leto so dostopna na: </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https://ejn.gov.si/direktorat/porocila-in-analize.html</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V skladu s 114. členom ZJN-3 Ministrstvo za javno upravo (MJU) zagotavlja spremljanje uporabe pravil o javnem naročanju. Kadar ugotovi ali prejme podatke, ki kažejo na posamezne kršitve ali sistemske težave obvesti Urad Republike Slovenije za nadzor proračuna, Računsko sodišče Republike Slovenije, Državno revizijsko komisijo, Agencijo Republike Slovenije za varstvo konkurence (AVK) ali Komisijo za preprečevanje korupcije. MJU vsaka tri leta poroča o rezultatih spremljanja Evropski komisiji. Poročilo je informacija javnega značaja.</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V skladu s 106. - 108. členom ZJN-3 MJU pripravi letno statistično poročilo o javnih naročilih, oddanih v Sloveniji na podlagi obvestil o oddanih javnih naročilih v preteklem letu, objavljenih na portalu javnih naročil oziroma v Uradnem listu EU, in iz sporočenih statističnih podatkov o evidenčnih naročilih. ZJN-3 določa tudi vsebino statističnega poročila in razčlenitev podatkov.</w:t>
            </w:r>
          </w:p>
        </w:tc>
      </w:tr>
      <w:tr>
        <w:tblPrEx>
          <w:tblW w:w="0" w:type="auto"/>
          <w:tblLayout w:type="fixed"/>
        </w:tblPrEx>
        <w:trPr>
          <w:cantSplit w:val="0"/>
          <w:trHeight w:hRule="auto" w:val="0"/>
          <w:tblHeader w:val="0"/>
        </w:trPr>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 xml:space="preserve">2. ureditve za zagotovitev, da podatki zajemajo vsaj naslednje elemente: </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 xml:space="preserve">(a) kakovost in intenzivnost konkurence: imena izbranega ponudnika, število prvotnih ponudnikov in pogodbena vrednost, </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(b) informacije o končni ceni po dokončanju in o udeležbi MSP kot neposrednih ponudnikov, kadar nacionalni sistemi zagotavljajo take informacije;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Portal javnih naročil</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https://www.enarocanje.si/</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Vsi zahtevani podatki so del obvestil o oddaji javnih naročil, ki jih naročniki objavijo na portalu javnih naročil, ki predstavlja enoten dostop do informacij o javnem naročanju in zagotavlja objavo vseh bistvenih podatkov v zvezi s postopkom oddaje javnega naročila (tj. obvestila o javnih naročilih, razpisna dokumentacija, odločitve o oddaji naročila, obvestila o oddaji naročil, ki vsebujejo tudi informacije o sodelovanju MSP itd.).</w:t>
            </w:r>
          </w:p>
        </w:tc>
      </w:tr>
      <w:tr>
        <w:tblPrEx>
          <w:tblW w:w="0" w:type="auto"/>
          <w:tblLayout w:type="fixed"/>
        </w:tblPrEx>
        <w:trPr>
          <w:cantSplit w:val="0"/>
          <w:trHeight w:hRule="auto" w:val="0"/>
          <w:tblHeader w:val="0"/>
        </w:trPr>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3. ureditve za zagotovitev spremljanja in analize podatkov s strani pristojnih nacionalnih organov v skladu s členom 83(2) Direktive 2014/24/EU in členom 99(2) Direktive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Zakon o javnem naročanju (ZJN-3)</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http://www.pisrs.si/Pis.web/pregledPredpisa?id=ZAKO7086</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V skladu s prvim odstavkom 114. člena ZJN-3 je spremljanje uporabe pravil javnega naročanja v pristojnosti MJU, ki v primeru, ko ugotovi ali prejme podatke, ki kažejo na posamezne kršitve ali sistemske težave, o njih obvesti pristojne nacionalne organe, ki jih ustrezno obravnavajo. Te informacije se zbirajo in po potrebi identificirajo na različne načine, npr. preko letnega statističnega poročanja; različnih vrst iniciativ različnih deležnikov, predvsem različnih dogodkih, kot so izobraževanja in usposabljanja; preko vzpostavljene enotne kontaktne točke za pomoč naročnikom in gospodarskim subjektom, enotnega kontaktnega centra državne uprave za tehnično pomoč preko telefonskih in pisnih svetovanj, itd.</w:t>
            </w:r>
          </w:p>
        </w:tc>
      </w:tr>
      <w:tr>
        <w:tblPrEx>
          <w:tblW w:w="0" w:type="auto"/>
          <w:tblLayout w:type="fixed"/>
        </w:tblPrEx>
        <w:trPr>
          <w:cantSplit w:val="0"/>
          <w:trHeight w:hRule="auto" w:val="0"/>
          <w:tblHeader w:val="0"/>
        </w:trPr>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4. ureditve za dajanje izidov analize na razpolago javnosti v skladu s členom 83(3) Direktive 2014/24/EU in členom 99(3) Direktive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Slovensko poročilo je skupaj s poročili drugih držav članic na voljo na spletni strani Evropske komisije:</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https://ec.europa.eu/growth/singlemarket/public-procurement/countryreports_en</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Vsa državna statistična poročila o oddanih javnih naročilih v Republiki Sloveniji, v katerih MJU analizira stanje javnega naročanja za vsako posamezno leto, so dostopna na:</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https://ejn.gov.si/direktorat/porocila-in-analize.html</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Rezultati spremljanja uporabe pravil javnega naročanja so del nacionalnega poročanja Evropski komisiji, ki poteka vsaka 3 leta. Poročilo je informacija javnega značaja. Za večjo preglednost rezultatov spremljanja bo MJU na svojih spletnih straneh v delu Poročila in analize (skupaj z nacionalnimi letnimi statističnimi poročili, ki so že objavljena z vsebino, kot predstavljeno v točki 1) objavilo tudi povezavo na omenjeno spletno stran Evropske komisije.</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Sicer pa so običajno vse odločitve in poročila, ki jih sprejmejo različni državni organi (Državna revizijska komisija za revizijo postopkov oddaje javnih naročil, Komisija za preprečevanje korupcije, Računsko sodišče Republike Slovenije), vsak v okviru svoje pristojnosti na področju javnih naročil kot t.i. zagovorniki javnega interesa na podlagi zakona, ki ureja pravno varstvo v postopkih javnega naročanja, objavljeni na njihovih spletnih straneh. Poročila poleg ugotovitev vsebujejo tudi priporočila za izboljšanje sistemske ureditve javnega naročanja.</w:t>
            </w:r>
          </w:p>
        </w:tc>
      </w:tr>
      <w:tr>
        <w:tblPrEx>
          <w:tblW w:w="0" w:type="auto"/>
          <w:tblLayout w:type="fixed"/>
        </w:tblPrEx>
        <w:trPr>
          <w:cantSplit w:val="0"/>
          <w:trHeight w:hRule="auto" w:val="0"/>
          <w:tblHeader w:val="0"/>
        </w:trPr>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5. ureditve za zagotovitev, da se vse informacije, ki kažejo na domnevne primere manipulacij pri razpisnih postopkih, sporočijo pristojnim nacionalnim telesom v skladu s členom 83(2) Direktive 2014/24/EU in členom 99(2) Direktive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Zakon o javnem naročanju (ZJN-3)</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http://www.pisrs.si/Pis.web/pregledPredpisa?id=ZAKO7086</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V skladu z ZJN-3 (114. člen) MJU zagotavlja spremljanje uporabe pravil o javnem naročanju (JN). Ko ugotovi ali prejme podatke, ki kažejo na posamezne kršitve ali sistemske težave, obvesti pristojne organe (Urad RS za nadzor proračuna, Računsko sodišče RS, Državno revizijsko komisijo, Agencijo RS za varstvo konkurence (AVK) ali Komisijo za preprečevanje korupcije), ki vsak ustrezno ukrepajo. Ta obveznost izhaja iz zakona, zato dodatni dogovori niso sklenjeni. Državni organi so dolžni spoštovati vso relevantno pozitivno zakonodajo, vključno s pravili poslovanja in postopkovnimi pravili. ZJN-3 opredeljuje izključitvene razloge, povezane z omejevanjem konkurence (75. člen).</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Preventivno vpliva tudi informatizacija postopka JN. Visoka transparentnost (objava obvestil, sklepov o oddaji, pogodb, razpisnih cen) je eden ključnih ukrepov v boju proti nedovoljenem dogovarjanju. MJU in AVK redno izvajata pregled stanja sistema JN. AVK izvaja zagovorništvo javnega interesa glede konkurence in svetuje naročnikom. Izvedeno je bilo izobraževanje o prepoznavanju in poročanju o usklajenih ravnanjih v postopkih JN, ki je javno dostopno.</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Glej tudi merili 1 in 3.</w:t>
            </w:r>
          </w:p>
        </w:tc>
      </w:tr>
      <w:tr>
        <w:tblPrEx>
          <w:tblW w:w="0" w:type="auto"/>
          <w:tblLayout w:type="fixed"/>
        </w:tblPrEx>
        <w:trPr>
          <w:cantSplit w:val="0"/>
          <w:trHeight w:hRule="auto" w:val="0"/>
          <w:tblHeader w:val="0"/>
        </w:trPr>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3. Učinkovita uporaba in izvajanje Listine o temeljnih pravicah</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 xml:space="preserve">Vzpostavljeni so učinkoviti mehanizmi za zagotavljanje skladnosti z Listino Evropske unije o temeljnih pravicah (v nadaljevanju: Listina), ki vključujejo: </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1. ureditve za zagotovitev skladnosti programov, ki jih podpirajo skladi, in njihovega izvajanja z ustreznimi določbami Listine;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Smiselna uporaba Postopkovnika za zagotavljanje horizontalnega omogočitvenega pogoja “Učinkovita uporaba in izvajanje Listine o temeljnih pravicah” Službe Vlade RS za razvoj in evropsko kohezijsko politiko (v nadaljevanju: Postopkovnik) do sprejema programskih dokumentov: Opis sistema upravljanja in nadzora za sklade s področja notranje varnosti in migracij 2021-2027, Priročnika organa upravljanja ter Navodil organa upravljanja.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Listina EU o temeljnih pravicah je bila upoštevana pri pripravi Programa ter bo tudi pri izvajanju, spremljanju in vrednotenju. V Sloveniji je Varuh človekovih pravic nadzornik oblasti, ki s svojim delovanjem omejuje njeno samovoljo pri poseganju v človekove pravice in temeljne svoboščin in deluje v primeru kakršnekoli kršitve katerekoli pravice posameznika s strani nosilcev oblasti. Je eden izmed ključnih deležnikov, ki bo vključen v vse faze izvajanja Programa.</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Postopki preverjanja skladnosti operacij kot tudi naloge organov bodo določeni v Opisu sistema upravljanja in nadzora, Priročniku organa upravljanja ter Navodilih organa upravljanja. Merila za preverjanje skladnosti operacij z Listino bodo vključena v kontrolne liste.</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 xml:space="preserve">Priprava dokumentov bo potekala v sodelovanju z Varuhom človekovih pravic RS, do njihove uveljavitve pa se bo smiselno upošteval Postopkovnik. </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OU bo v sodelovanju s pristojnim Varuhom človekovih pravic RS izvedel usposabljanja za osebe, ki bodo preverjale skladnost operacij z Listino, ter drugih ključnih deležnikov.</w:t>
            </w:r>
          </w:p>
        </w:tc>
      </w:tr>
      <w:tr>
        <w:tblPrEx>
          <w:tblW w:w="0" w:type="auto"/>
          <w:tblLayout w:type="fixed"/>
        </w:tblPrEx>
        <w:trPr>
          <w:cantSplit w:val="0"/>
          <w:trHeight w:hRule="auto" w:val="0"/>
          <w:tblHeader w:val="0"/>
        </w:trPr>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2. ureditve poročanja odboru za spremljanje o primerih neskladnosti operacij, ki jih podpirajo skladi, z Listino in pritožbah glede Listine, predloženih v skladu z ureditvami na podlagi člena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Smiselna uporaba Postopkovnika za zagotavljanje horizontalnega omogočitvenega pogoja “Učinkovita uporaba in izvajanje Listine o temeljnih pravicah” Službe Vlade RS za razvoj in evropsko kohezijsko politiko (v nadaljevanju: Postopkovnik) do sprejema programskih dokumentov: Opis sistema upravljanja in nadzora za sklade s področja notranje varnosti in migracij 2021-2027, Priročnika organa upravljanja ter Navodil organa upravljanja.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 xml:space="preserve">Varuh človekovih pravic bo enkrat letno OU posredoval informacijo o morebitnih pritožbah, ki jih je prejel v okviru svojih pooblastil od posameznih oseb. </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OU bo imenoval odgovorno osebo, ki bo zadolžena za spremljanje in poročanje odboru za spremljanje skladov o morebitnih ugotovljenih neskladjih v postopkih upravljalnih preverjanj, revizij, vloženih spletnih pritožb, pritožbah, ki so bile naslovljene na Varuha človekovih pravic, ipd., ter o izvedenih popravljalnih ukrepih.</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Imenovana odgovorna oseba bo enkrat letno pripravila poročilo za odbor za spremljanje skladov, ki bo vsebovalo informacijo o številu ugotovljenih neskladij in pritožb, vsebini in izvedenih popravljalnih ukrepih.</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Na spletni strani OU ter https://evropskasredstva.si/ bo objavljen spletni obrazec za pritožbe na podlagi 7. odstavka 69. člena Uredbe (EU) 2021/1060.</w:t>
            </w:r>
          </w:p>
          <w:p w:rsidR="00A77B3E">
            <w:pPr>
              <w:spacing w:before="100" w:after="0"/>
              <w:jc w:val="left"/>
              <w:rPr>
                <w:rFonts w:ascii="Times New Roman" w:eastAsia="Times New Roman" w:hAnsi="Times New Roman" w:cs="Times New Roman"/>
                <w:b w:val="0"/>
                <w:i w:val="0"/>
                <w:vanish w:val="0"/>
                <w:color w:val="000000"/>
                <w:sz w:val="20"/>
                <w:vertAlign w:val="baseline"/>
              </w:rPr>
            </w:pPr>
          </w:p>
        </w:tc>
      </w:tr>
      <w:tr>
        <w:tblPrEx>
          <w:tblW w:w="0" w:type="auto"/>
          <w:tblLayout w:type="fixed"/>
        </w:tblPrEx>
        <w:trPr>
          <w:cantSplit w:val="0"/>
          <w:trHeight w:hRule="auto" w:val="0"/>
          <w:tblHeader w:val="0"/>
        </w:trPr>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4. Izvajanje in uporaba Konvencije Združenih narodov o pravicah invalidov v skladu s Sklepom Sveta 2010/48/ES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 xml:space="preserve">Vzpostavljen je nacionalni okvir za izvajanje Konvencije Združenih narodov o pravicah invalidov, ki vključuje: </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1. cilje z merljivimi vrednostmi, zbiranje podatkov in mehanizme spremljanja;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Akcijski program za invalide 2022-2030 (API)</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https://www.gov.si/zbirke/projekti-inprogrami/akcijski-program-za-invalide/</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Vlada RS je oktobra 2021 sprejela Akcijski program za invalide 2022-2030 (API), katerega namen je spodbujati, varovati in zagotavljati polnopravno in enakovredno uživanje človekovih pravic invalidov in spodbujanje njihovega dostojanstva. 7. 4. 2022 je bila imenovana Komisija za spremljanje API. Sestavljena je iz skupine predstavnikov vseh resornih ministrstev, strokovnih organizacij, Nacionalnega sveta invalidskih organizacij Slovenije ter drugih invalidskih organizacij in Zveze društev upokojencev. Naloga Komisije je priprava letnega poročila o izvajanju API za Vlado RS. Poročevalci beležijo vse dejavnosti, ki so bile izvedene v letu v okviru predvidenih 13 ciljev in 120 ukrepov API. Mnenje na letno poročilo Komisije poda Svet za invalide (posvetovalni, neodvisen tripartitni organ, ustanovljen na podlagi 33. člena Konvencije ZN o pravicah invalidov in EU strategije za invalide 2021-30), ki je med drugim zadolžen za spodbujanje in spremljanje izvajanja Zakona o ratifikaciji  Konvencije kot tudi za spremljanje implementacije API.</w:t>
            </w:r>
          </w:p>
        </w:tc>
      </w:tr>
      <w:tr>
        <w:tblPrEx>
          <w:tblW w:w="0" w:type="auto"/>
          <w:tblLayout w:type="fixed"/>
        </w:tblPrEx>
        <w:trPr>
          <w:cantSplit w:val="0"/>
          <w:trHeight w:hRule="auto" w:val="0"/>
          <w:tblHeader w:val="0"/>
        </w:trPr>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2. ureditve za zagotovitev, da se politika, zakonodaja in standardi dostopnosti ustrezno upoštevajo pri pripravi in izvajanju programov;</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Akcijski program za invalide 2022-2030 (API)</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https://www.gov.si/zbirke/projekti-inprogrami/akcijski-program-za-invalide/</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Zakon o izenačevanju možnosti invalidov (ZIMI)</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http://www.pisrs.si/Pis.web/pregledPredpisa?id=ZAKO4342</w:t>
            </w:r>
          </w:p>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Skladnost s Konvencijo je bila zagotovljena v fazi programiranja, saj so bile v proces priprave Programa vključene organizacije pristojne za spremljanje izvajanja Konvencije, ki bodo sodelovale tudi pri izvajanju, spremljanju in vrednotenju Programa.</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Postopki preverjanja skladnosti operacij s Konvencijo kot tudi naloge organov bodo določeni v Opisu sistema upravljanja in nadzora, Priročniku organa upravljanja ter Navodilih organa upravljanja. Merila za preverjanje skladnosti operacij s Konvencijo  bodo vključena v kontrolne liste.</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V načrtu ukrepov za krepitev upravne zmogljivosti so predvidena usposabljanja in izobraževanja ključnih deležnikov na tem področju, ki bo pripravljeno v sodelovanju s Komisijo za spremljanje API in ostalimi relevantnimi strokovnjaki.</w:t>
            </w:r>
          </w:p>
        </w:tc>
      </w:tr>
      <w:tr>
        <w:tblPrEx>
          <w:tblW w:w="0" w:type="auto"/>
          <w:tblLayout w:type="fixed"/>
        </w:tblPrEx>
        <w:trPr>
          <w:cantSplit w:val="0"/>
          <w:trHeight w:hRule="auto" w:val="0"/>
          <w:tblHeader w:val="0"/>
        </w:trPr>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3. ureditve poročanja odboru za spremljanje o primerih neskladnosti operacij, ki jih podpirajo skladi, s Konvencijo Združenih narodov o pravicah invalidov in pritožbah glede navedene konvencije, predloženih v skladu z ureditvami na podlagi člena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Akcijski program za invalide 2022-2030 (API)</w:t>
            </w: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https://www.gov.si/zbirke/projekti-inprogrami/akcijski-program-za-invalide/</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Komisija za spremljanje API bo pripravila letno poročilo, s katerim bo seznanila OU. Mnenje na poročilo bo podal Svet za invalide, ter se izrekel o morebitnih pritožbah in ugotovljenih neskladjih.</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OU bo imenoval odgovorno osebo, ki bo zadolžena za spremljanje in poročanje odboru za spremljanje skladov o morebitnih ugotovljenih neskladjih v postopkih upravljalnih preverjanj, revizij, vloženih spletnih pritožb, ugotovitvah Komisije za spremljanje API, ter o izvedenih popravljalnih ukrepih.</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Imenovana odgovorna oseba bo enkrat letno pripravila poročilo za odbor za spremljanje skladov, ki bo vsebovalo informacijo o ugotovljenih neskladjih in pritožbah, vsebini in izvedenih popravljalnih ukrepih.</w:t>
            </w:r>
          </w:p>
          <w:p w:rsidR="00A77B3E">
            <w:pPr>
              <w:spacing w:before="100" w:after="0"/>
              <w:jc w:val="left"/>
              <w:rPr>
                <w:rFonts w:ascii="Times New Roman" w:eastAsia="Times New Roman" w:hAnsi="Times New Roman" w:cs="Times New Roman"/>
                <w:b w:val="0"/>
                <w:i w:val="0"/>
                <w:vanish w:val="0"/>
                <w:color w:val="000000"/>
                <w:sz w:val="20"/>
                <w:vertAlign w:val="baseline"/>
              </w:rPr>
            </w:pPr>
          </w:p>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Pritožbe bo zbiral tudi OU, zato bo na spletni strani OU in https://evropskasredstva.si/ objavljen spletni obrazec za pritožbe na podlagi 7. odstavka 69. člena Uredbe (EU) 2021/1060.</w:t>
            </w:r>
          </w:p>
          <w:p w:rsidR="00A77B3E">
            <w:pPr>
              <w:spacing w:before="100" w:after="0"/>
              <w:jc w:val="left"/>
              <w:rPr>
                <w:rFonts w:ascii="Times New Roman" w:eastAsia="Times New Roman" w:hAnsi="Times New Roman" w:cs="Times New Roman"/>
                <w:b w:val="0"/>
                <w:i w:val="0"/>
                <w:vanish w:val="0"/>
                <w:color w:val="000000"/>
                <w:sz w:val="20"/>
                <w:vertAlign w:val="baseline"/>
              </w:rPr>
            </w:pPr>
          </w:p>
        </w:tc>
      </w:tr>
    </w:tbl>
    <w:p w:rsidR="00A77B3E">
      <w:pPr>
        <w:pStyle w:val="Heading1"/>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0"/>
          <w:vertAlign w:val="baseline"/>
        </w:rPr>
        <w:br w:type="page"/>
      </w:r>
      <w:bookmarkStart w:id="43" w:name="_Toc256000106"/>
      <w:r>
        <w:rPr>
          <w:rFonts w:ascii="Times New Roman" w:eastAsia="Times New Roman" w:hAnsi="Times New Roman" w:cs="Times New Roman"/>
          <w:b w:val="0"/>
          <w:i w:val="0"/>
          <w:vanish w:val="0"/>
          <w:color w:val="000000"/>
          <w:sz w:val="24"/>
          <w:vertAlign w:val="baseline"/>
        </w:rPr>
        <w:t>5. Organi, pristojni za program</w:t>
      </w:r>
      <w:bookmarkEnd w:id="43"/>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Sklic: člen 22(3)(k) ter člena 71 in 84 uredbe o skupnih določbah</w:t>
      </w:r>
    </w:p>
    <w:p w:rsidR="00A77B3E">
      <w:pPr>
        <w:pStyle w:val="Heading2"/>
        <w:spacing w:before="100" w:after="0"/>
        <w:jc w:val="left"/>
        <w:rPr>
          <w:rFonts w:ascii="Times New Roman" w:eastAsia="Times New Roman" w:hAnsi="Times New Roman" w:cs="Times New Roman"/>
          <w:b w:val="0"/>
          <w:i w:val="0"/>
          <w:vanish w:val="0"/>
          <w:color w:val="000000"/>
          <w:sz w:val="24"/>
          <w:vertAlign w:val="baseline"/>
        </w:rPr>
      </w:pPr>
      <w:bookmarkStart w:id="44" w:name="_Toc256000107"/>
      <w:r>
        <w:rPr>
          <w:rFonts w:ascii="Times New Roman" w:eastAsia="Times New Roman" w:hAnsi="Times New Roman" w:cs="Times New Roman"/>
          <w:b w:val="0"/>
          <w:i w:val="0"/>
          <w:vanish w:val="0"/>
          <w:color w:val="000000"/>
          <w:sz w:val="24"/>
          <w:vertAlign w:val="baseline"/>
        </w:rPr>
        <w:t>Tabela 10: Organi, pristojni za program</w:t>
      </w:r>
      <w:bookmarkEnd w:id="44"/>
    </w:p>
    <w:p w:rsidR="00A77B3E">
      <w:pPr>
        <w:spacing w:before="100" w:after="0"/>
        <w:jc w:val="left"/>
        <w:rPr>
          <w:rFonts w:ascii="Times New Roman" w:eastAsia="Times New Roman" w:hAnsi="Times New Roman" w:cs="Times New Roman"/>
          <w:b w:val="0"/>
          <w:i w:val="0"/>
          <w:vanish w:val="0"/>
          <w:color w:val="000000"/>
          <w:sz w:val="0"/>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067"/>
        <w:gridCol w:w="5885"/>
        <w:gridCol w:w="1779"/>
        <w:gridCol w:w="1854"/>
        <w:gridCol w:w="1717"/>
      </w:tblGrid>
      <w:tr>
        <w:tblPrEx>
          <w:tblW w:w="5000" w:type="pct"/>
        </w:tblPrEx>
        <w:trPr>
          <w:cantSplit w:val="0"/>
          <w:trHeight w:hRule="auto" w:val="0"/>
          <w:tblHeader/>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Organ, pristojen za program</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Ime nosilca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Kontaktna oseba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Položaj</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E-naslov</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Organ upravljanja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Ministrstvo za notranje zadeve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Tina Heferle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državna sekretarka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ses.mnz@gov.si</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Revizijski organ</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Ministrstvo za finance, Urad za nadzor proračuna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Patricija Pergar</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direktorica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mf.unp@gov.si</w:t>
            </w:r>
          </w:p>
        </w:tc>
      </w:tr>
      <w:tr>
        <w:tblPrEx>
          <w:tblW w:w="5000" w:type="pct"/>
        </w:tblPrEx>
        <w:trPr>
          <w:cantSplit w:val="0"/>
          <w:trHeight w:hRule="auto" w:val="0"/>
          <w:tblHeader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Telo, ki prejema plačila Evropske komisije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Ministrstvo za finance, Sektor za upravljanje s sredstvi EU/CA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 xml:space="preserve">mag. Evelyn Filip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vodja sektorja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suseu.mf@gov.si</w:t>
            </w:r>
          </w:p>
        </w:tc>
      </w:tr>
    </w:tbl>
    <w:p w:rsidR="00A77B3E">
      <w:pPr>
        <w:spacing w:before="100" w:after="0"/>
        <w:jc w:val="center"/>
        <w:rPr>
          <w:rFonts w:ascii="Times New Roman" w:eastAsia="Times New Roman" w:hAnsi="Times New Roman" w:cs="Times New Roman"/>
          <w:b w:val="0"/>
          <w:i w:val="0"/>
          <w:vanish w:val="0"/>
          <w:color w:val="000000"/>
          <w:sz w:val="20"/>
          <w:vertAlign w:val="baseline"/>
        </w:rPr>
        <w:sectPr>
          <w:headerReference w:type="even" r:id="rId76"/>
          <w:headerReference w:type="default" r:id="rId77"/>
          <w:footerReference w:type="even" r:id="rId78"/>
          <w:footerReference w:type="default" r:id="rId79"/>
          <w:headerReference w:type="first" r:id="rId80"/>
          <w:footerReference w:type="first" r:id="rId81"/>
          <w:type w:val="nextPage"/>
          <w:pgSz w:w="16838" w:h="11906" w:orient="landscape"/>
          <w:pgMar w:top="720" w:right="720" w:bottom="864" w:left="936" w:header="288" w:footer="72" w:gutter="0"/>
          <w:cols w:space="708"/>
          <w:noEndnote/>
          <w:docGrid w:linePitch="360"/>
        </w:sectPr>
      </w:pPr>
    </w:p>
    <w:p w:rsidR="00A77B3E">
      <w:pPr>
        <w:pStyle w:val="Heading1"/>
        <w:spacing w:before="100" w:after="0"/>
        <w:jc w:val="left"/>
        <w:rPr>
          <w:rFonts w:ascii="Times New Roman" w:eastAsia="Times New Roman" w:hAnsi="Times New Roman" w:cs="Times New Roman"/>
          <w:b w:val="0"/>
          <w:i w:val="0"/>
          <w:vanish w:val="0"/>
          <w:color w:val="000000"/>
          <w:sz w:val="24"/>
          <w:vertAlign w:val="baseline"/>
        </w:rPr>
      </w:pPr>
      <w:bookmarkStart w:id="45" w:name="_Toc256000108"/>
      <w:r>
        <w:rPr>
          <w:rFonts w:ascii="Times New Roman" w:eastAsia="Times New Roman" w:hAnsi="Times New Roman" w:cs="Times New Roman"/>
          <w:b w:val="0"/>
          <w:i w:val="0"/>
          <w:vanish w:val="0"/>
          <w:color w:val="000000"/>
          <w:sz w:val="24"/>
          <w:vertAlign w:val="baseline"/>
        </w:rPr>
        <w:t>6. Partnerstvo</w:t>
      </w:r>
      <w:bookmarkEnd w:id="45"/>
    </w:p>
    <w:p w:rsidR="00A77B3E">
      <w:pPr>
        <w:spacing w:before="100" w:after="0"/>
        <w:jc w:val="left"/>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24"/>
          <w:vertAlign w:val="baseline"/>
        </w:rPr>
        <w:t>Sklic: člen 22(3)(h) uredbe o skupnih določbah</w:t>
      </w:r>
    </w:p>
    <w:p w:rsidR="00A77B3E">
      <w:pPr>
        <w:spacing w:before="100" w:after="0"/>
        <w:jc w:val="left"/>
        <w:rPr>
          <w:rFonts w:ascii="Times New Roman" w:eastAsia="Times New Roman" w:hAnsi="Times New Roman" w:cs="Times New Roman"/>
          <w:b w:val="0"/>
          <w:i w:val="0"/>
          <w:vanish w:val="0"/>
          <w:color w:val="000000"/>
          <w:sz w:val="12"/>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0240"/>
      </w:tblGrid>
      <w:tr>
        <w:tblPrEx>
          <w:tblW w:w="5000" w:type="pct"/>
          <w:tblLayout w:type="fixed"/>
        </w:tblPrEx>
        <w:trPr>
          <w:cantSplit w:val="0"/>
          <w:trHeight w:val="160"/>
          <w:tblHeader w:val="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0"/>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Vključenost relevantnih deležnikov na ravni programa: Pri pripravi Programa so bili skladno z 8. členom CPR ter 4. členom uredbe AMIF udeleženi vsi potrebni organi in ustrezni deležniki na različnih ravneh. Spodaj navedenim organizacijam je bil Program posredovan v podajo komentarjev.</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Ekonomsko–socialni partnerji:</w:t>
            </w:r>
          </w:p>
          <w:p w:rsidR="00A77B3E">
            <w:pPr>
              <w:numPr>
                <w:ilvl w:val="0"/>
                <w:numId w:val="18"/>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Ekonomsko-socialni svet (ESS) je tristranski organ socialnih partnerjev in Vlade Republike Slovenije, ustanovljen za obravnavanje vprašanj in ukrepov v zvezi z ekonomsko in socialno politiko ter drugih vprašanj, povezanih s posebnimi področji dogovora med partnerji.</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Telesa, ki predstavljajo civilno družbo, mednarodne organizacije, nevladne organizacije, begunske organizacije, organizacije, ki jih vodijo migranti, organizacije za človekove pravice:</w:t>
            </w:r>
          </w:p>
          <w:p w:rsidR="00A77B3E">
            <w:pPr>
              <w:numPr>
                <w:ilvl w:val="0"/>
                <w:numId w:val="19"/>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CNVOS je krovna mreža slovenskih nevladnih organizacij. Združujejo več kot 1.500 različnih društev in posameznih društev, zavodov in institucij. S svojim znanjem in izkušnjami podpirajo slovenski nevladni sektor.</w:t>
            </w:r>
          </w:p>
          <w:p w:rsidR="00A77B3E">
            <w:pPr>
              <w:numPr>
                <w:ilvl w:val="0"/>
                <w:numId w:val="19"/>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Mirovni inštitut in migracijski forum. Je neodvisen in neprofitni raziskovalni inštitut, ki ga je leta 1991 ustanovila skupina posameznikov, ki so verjeli v mirno reševanje konfliktov, enakost in spoštovanje človekovih pravic (dejavni na področju pravic migrantov).</w:t>
            </w:r>
          </w:p>
          <w:p w:rsidR="00A77B3E">
            <w:pPr>
              <w:numPr>
                <w:ilvl w:val="0"/>
                <w:numId w:val="19"/>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Predstavnik nevladnih organizacij v obstoječem Odboru za spremljanje AMIF-SNV.</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Regionalna, lokalna in mestna raven:</w:t>
            </w:r>
          </w:p>
          <w:p w:rsidR="00A77B3E">
            <w:pPr>
              <w:numPr>
                <w:ilvl w:val="0"/>
                <w:numId w:val="20"/>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Združenje slovenskih občin (ZOS), ki zastopa lokalne interese in združuje 111 občin.</w:t>
            </w:r>
          </w:p>
          <w:p w:rsidR="00A77B3E">
            <w:pPr>
              <w:numPr>
                <w:ilvl w:val="0"/>
                <w:numId w:val="20"/>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Skupnost občin Slovenije (SOS) je največje reprezentativno združenje lokalnih skupnosti v Sloveniji s 179 občinami članicami.</w:t>
            </w:r>
          </w:p>
          <w:p w:rsidR="00A77B3E">
            <w:pPr>
              <w:numPr>
                <w:ilvl w:val="0"/>
                <w:numId w:val="20"/>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Skupnost občin Slovenije (ZMOS) je interesno združenje na državni ravni, ki zastopa interese mestnih občin na državni in mednarodni ravni.</w:t>
            </w:r>
          </w:p>
          <w:p w:rsidR="00A77B3E">
            <w:pPr>
              <w:numPr>
                <w:ilvl w:val="0"/>
                <w:numId w:val="20"/>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Slovenski regionalni razvojni sklad.</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Raziskovalne organizacije in univerze:</w:t>
            </w:r>
          </w:p>
          <w:p w:rsidR="00A77B3E">
            <w:pPr>
              <w:numPr>
                <w:ilvl w:val="0"/>
                <w:numId w:val="21"/>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Javna agencija za raziskovalno dejavnost Republike Slovenije (ARRS) – opravlja strokovne, razvojne in izvajalske naloge v zvezi z izvajanjem sprejete Raziskovalno-inovacijske strategije Slovenije in druge naloge spodbujanja raziskovalne dejavnosti.</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Ko so omenjene organizacije prejele Program, so ga razdelile svojim članom. Kasneje smo organizirali javni posvet, kamor so bili povabljeni vsi deležniki in zainteresirana javnost. Na sestanku so bili prisotni predstavniki nekaterih partnerjev (Slovenska filantropija, Inštitut za narodnostna vprašanja, Inštitut za mednarodni afriški forum, IOM, Mirovni inštitut, Znanstvenoraziskovalni center Slovenske akademije znanosti in umetnosti -ZRC SAZU, Združenje občin Slovenije), ki so predstavili svoje pripombe. Poleg navedenega smo prejeli tudi pisne pripombe Inštituta za narodnostna vprašanja in Mirovnega inštituta. Pripombe so bile smiselno upoštevane in bodo javno dostopne na spletni strani skladov.</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V fazi izvajanja in evalvacije pa bo medresorsko usklajevanje in sodelovanje vzpostavljeno z zgoraj omenjenimi deležniki potekalo v okviru Medresorske delovne skupine za koordinacijo in operativno usklajevanje izvajanja operacij skladov s področja notranje varnosti in migracij (MDS) kot pripravljalne skupine ter Odbora za spremljanje skladov s področja notranje varnosti in migracij (OSS) kot odločevalskega telesa. MDS bo delovala kot delovno posvetovalna skupina, ki jo bodo sestavljali imenovani posamezniki, na ravni državnih organov, ki bodo sodelovali pri implementaciji skladov ter bo namenjena predstavitvi stanja, rezultatov in izzivov nastalih pri tem. Poleg tega bo pristojen za razpravo o zadevah/nalogah, ki jih preverja in potrdi OSS.</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V OSS bodo k imenovanju predstavnikov pozvani organi na državni ravni in organi iz sistema nadzora in upravljanja ter EK, kot tudi partnerji (regionalni, lokalni, mestni in drugi javni organi; ekonomski in socialni partnerji; telesa, ki predstavljajo civilno družbo, kot so okoljski partnerji, nevladne organizacije in telesa, odgovorna za spodbujanje socialne vključenosti, temeljnih pravic, pravic invalidov, enakosti spolov in nediskriminacije; raziskovalne organizacije in univerze) ter decentralizirane agencije. OSS bo pristojen za preverjanje spodaj navedenega:</w:t>
            </w:r>
          </w:p>
          <w:p w:rsidR="00A77B3E">
            <w:pPr>
              <w:numPr>
                <w:ilvl w:val="0"/>
                <w:numId w:val="22"/>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napredek pri izvajanju Programa, doseganju mejnikov in ciljnih vrednosti,</w:t>
            </w:r>
          </w:p>
          <w:p w:rsidR="00A77B3E">
            <w:pPr>
              <w:numPr>
                <w:ilvl w:val="0"/>
                <w:numId w:val="22"/>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morebitna vprašanja, ki vplivajo na smotrnost Programa, in ukrepe, sprejete za obravnavo teh vprašanj,</w:t>
            </w:r>
          </w:p>
          <w:p w:rsidR="00A77B3E">
            <w:pPr>
              <w:numPr>
                <w:ilvl w:val="0"/>
                <w:numId w:val="22"/>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prispevek Programa k reševanju izzivov, opredeljenih v ustreznih priporočilih za posamezne države, ki so povezana z izvajanjem Programa,</w:t>
            </w:r>
          </w:p>
          <w:p w:rsidR="00A77B3E">
            <w:pPr>
              <w:numPr>
                <w:ilvl w:val="0"/>
                <w:numId w:val="22"/>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elemente predhodne ocene in strateški dokument,</w:t>
            </w:r>
          </w:p>
          <w:p w:rsidR="00A77B3E">
            <w:pPr>
              <w:numPr>
                <w:ilvl w:val="0"/>
                <w:numId w:val="22"/>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napredek, dosežen pri izvajanju vrednotenj, sintez vrednotenj in morebitnega nadaljnjega spremljanja ugotovitev,</w:t>
            </w:r>
          </w:p>
          <w:p w:rsidR="00A77B3E">
            <w:pPr>
              <w:numPr>
                <w:ilvl w:val="0"/>
                <w:numId w:val="22"/>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izvajanje ukrepov v zvezi s komuniciranjem in prepoznavnostjo,</w:t>
            </w:r>
          </w:p>
          <w:p w:rsidR="00A77B3E">
            <w:pPr>
              <w:numPr>
                <w:ilvl w:val="0"/>
                <w:numId w:val="22"/>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napredek pri izvajanju operacij strateškega pomena,</w:t>
            </w:r>
          </w:p>
          <w:p w:rsidR="00A77B3E">
            <w:pPr>
              <w:numPr>
                <w:ilvl w:val="0"/>
                <w:numId w:val="22"/>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izpolnjevanje omogočitvenih pogojev in njihovo uporabo v celotnem programskem obdobju,</w:t>
            </w:r>
          </w:p>
          <w:p w:rsidR="00A77B3E">
            <w:pPr>
              <w:numPr>
                <w:ilvl w:val="0"/>
                <w:numId w:val="22"/>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napredek pri krepitvi upravnih zmogljivosti za javne institucije, partnerje in upravičence,</w:t>
            </w:r>
          </w:p>
          <w:p w:rsidR="00A77B3E">
            <w:pPr>
              <w:numPr>
                <w:ilvl w:val="0"/>
                <w:numId w:val="22"/>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informacije v zvezi z izvajanjem prispevka Programa k programu Invest EU.</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OSS je pristojen za odobritev metodologije in merila za izbor operacij, letnih poročil o smotrnosti, načrta vrednotenja in njegovih morebitne spremembe ter morebitne predloge OU za spremembo Programa. Poleg tega pa OSS lahko daje priporočila OU. Skladno s tem je pomembna zastopanost vseh raznolikih deležnikov.</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Proces odločanja in sodelovanja na ravni EU pa se vrši v okviru Odbora AMIF-SNV-IUMV</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Style w:val="Strong"/>
                <w:rFonts w:ascii="Times New Roman" w:eastAsia="Times New Roman" w:hAnsi="Times New Roman" w:cs="Times New Roman"/>
                <w:b w:val="0"/>
                <w:i w:val="0"/>
                <w:vanish w:val="0"/>
                <w:color w:val="000000"/>
                <w:sz w:val="24"/>
                <w:vertAlign w:val="baseline"/>
              </w:rPr>
              <w:t>Pakt o migracijah (uresničevanje partnerstva in spremljanje):</w:t>
            </w:r>
          </w:p>
          <w:p w:rsidR="00A77B3E">
            <w:pPr>
              <w:spacing w:before="100" w:after="0"/>
              <w:jc w:val="left"/>
              <w:rPr>
                <w:rFonts w:ascii="Times New Roman" w:eastAsia="Times New Roman" w:hAnsi="Times New Roman" w:cs="Times New Roman"/>
                <w:b w:val="0"/>
                <w:i w:val="0"/>
                <w:vanish w:val="0"/>
                <w:color w:val="000000"/>
                <w:sz w:val="24"/>
                <w:vertAlign w:val="baseline"/>
              </w:rPr>
            </w:pPr>
            <w:r>
              <w:rPr>
                <w:rStyle w:val="Strong"/>
                <w:rFonts w:ascii="Times New Roman" w:eastAsia="Times New Roman" w:hAnsi="Times New Roman" w:cs="Times New Roman"/>
                <w:b w:val="0"/>
                <w:i w:val="0"/>
                <w:vanish w:val="0"/>
                <w:color w:val="000000"/>
                <w:sz w:val="24"/>
                <w:vertAlign w:val="baseline"/>
              </w:rPr>
              <w:t xml:space="preserve">Vzpostavitev osrednjega usklajevalnega organa: </w:t>
            </w:r>
            <w:r>
              <w:rPr>
                <w:rFonts w:ascii="Times New Roman" w:eastAsia="Times New Roman" w:hAnsi="Times New Roman" w:cs="Times New Roman"/>
                <w:b w:val="0"/>
                <w:i w:val="0"/>
                <w:vanish w:val="0"/>
                <w:color w:val="000000"/>
                <w:sz w:val="24"/>
                <w:vertAlign w:val="baseline"/>
              </w:rPr>
              <w:t>14. novembra 2024 je bila ustanovljena Delovna skupina za usklajevanje, usmerjanje in izvajanje dejavnosti za uresničevanje Pakta o migracijah in azilu (WPAM). Delovna skupina je osrednji organ, pristojen za usmerjanje izvajanja Pakta in odobritev ključnih dokumentov.</w:t>
            </w:r>
          </w:p>
          <w:p w:rsidR="00A77B3E">
            <w:pPr>
              <w:spacing w:before="100" w:after="0"/>
              <w:jc w:val="left"/>
              <w:rPr>
                <w:rFonts w:ascii="Times New Roman" w:eastAsia="Times New Roman" w:hAnsi="Times New Roman" w:cs="Times New Roman"/>
                <w:b w:val="0"/>
                <w:i w:val="0"/>
                <w:vanish w:val="0"/>
                <w:color w:val="000000"/>
                <w:sz w:val="24"/>
                <w:vertAlign w:val="baseline"/>
              </w:rPr>
            </w:pPr>
            <w:r>
              <w:rPr>
                <w:rStyle w:val="Strong"/>
                <w:rFonts w:ascii="Times New Roman" w:eastAsia="Times New Roman" w:hAnsi="Times New Roman" w:cs="Times New Roman"/>
                <w:b w:val="0"/>
                <w:i w:val="0"/>
                <w:vanish w:val="0"/>
                <w:color w:val="000000"/>
                <w:sz w:val="24"/>
                <w:vertAlign w:val="baseline"/>
              </w:rPr>
              <w:t>Oblikovanje podskupin:</w:t>
            </w:r>
            <w:r>
              <w:rPr>
                <w:rFonts w:ascii="Times New Roman" w:eastAsia="Times New Roman" w:hAnsi="Times New Roman" w:cs="Times New Roman"/>
                <w:b w:val="0"/>
                <w:i w:val="0"/>
                <w:vanish w:val="0"/>
                <w:color w:val="000000"/>
                <w:sz w:val="24"/>
                <w:vertAlign w:val="baseline"/>
              </w:rPr>
              <w:t xml:space="preserve"> Znotraj delovne skupine so bile ustanovljene podskupine za zakonodajo, strateške dokumente, finance, človeške vire in usposabljanje, IT ter infrastrukturo, ki pokrivajo vsa ključna področja izvajanja. V delo podskupin so vključeni predstavniki vseh pristojnih resorjev, ki sodelujejo pri izvajanju, podskupine pa pripravljajo strokovne podlage, dokumentacijo ter ocene potrebnih virov. Prav tako bodo podskupine opravljale naloge spremljanja izvajanja vzpostavljene strukture. Obstoječa struktura bo ohranjena tudi v fazi dejanskega operativnega izvajanja, saj omogoča učinkovito usklajevanje, nadzor in poročanje.</w:t>
            </w:r>
          </w:p>
          <w:p w:rsidR="00A77B3E">
            <w:pPr>
              <w:spacing w:before="100" w:after="0"/>
              <w:jc w:val="left"/>
              <w:rPr>
                <w:rFonts w:ascii="Times New Roman" w:eastAsia="Times New Roman" w:hAnsi="Times New Roman" w:cs="Times New Roman"/>
                <w:b w:val="0"/>
                <w:i w:val="0"/>
                <w:vanish w:val="0"/>
                <w:color w:val="000000"/>
                <w:sz w:val="24"/>
                <w:vertAlign w:val="baseline"/>
              </w:rPr>
            </w:pPr>
            <w:r>
              <w:rPr>
                <w:rStyle w:val="Strong"/>
                <w:rFonts w:ascii="Times New Roman" w:eastAsia="Times New Roman" w:hAnsi="Times New Roman" w:cs="Times New Roman"/>
                <w:b w:val="0"/>
                <w:i w:val="0"/>
                <w:vanish w:val="0"/>
                <w:color w:val="000000"/>
                <w:sz w:val="24"/>
                <w:vertAlign w:val="baseline"/>
              </w:rPr>
              <w:t xml:space="preserve">Redno usklajevanje in spremljanje napredka: </w:t>
            </w:r>
            <w:r>
              <w:rPr>
                <w:rFonts w:ascii="Times New Roman" w:eastAsia="Times New Roman" w:hAnsi="Times New Roman" w:cs="Times New Roman"/>
                <w:b w:val="0"/>
                <w:i w:val="0"/>
                <w:vanish w:val="0"/>
                <w:color w:val="000000"/>
                <w:sz w:val="24"/>
                <w:vertAlign w:val="baseline"/>
              </w:rPr>
              <w:t>Vzpostavljena je stalna komunikacija med vodji podskupin, ki redno poročajo o napredku, izzivih pri izvajanju ter usklajenosti z Nacionalnim izvedbenim načrtom (NIP).</w:t>
            </w:r>
          </w:p>
          <w:p w:rsidR="00A77B3E">
            <w:pPr>
              <w:spacing w:before="100" w:after="0"/>
              <w:jc w:val="left"/>
              <w:rPr>
                <w:rFonts w:ascii="Times New Roman" w:eastAsia="Times New Roman" w:hAnsi="Times New Roman" w:cs="Times New Roman"/>
                <w:b w:val="0"/>
                <w:i w:val="0"/>
                <w:vanish w:val="0"/>
                <w:color w:val="000000"/>
                <w:sz w:val="24"/>
                <w:vertAlign w:val="baseline"/>
              </w:rPr>
            </w:pPr>
            <w:r>
              <w:rPr>
                <w:rStyle w:val="Strong"/>
                <w:rFonts w:ascii="Times New Roman" w:eastAsia="Times New Roman" w:hAnsi="Times New Roman" w:cs="Times New Roman"/>
                <w:b w:val="0"/>
                <w:i w:val="0"/>
                <w:vanish w:val="0"/>
                <w:color w:val="000000"/>
                <w:sz w:val="24"/>
                <w:vertAlign w:val="baseline"/>
              </w:rPr>
              <w:t>Spremljanje finančnega vidika izvajanja:</w:t>
            </w:r>
            <w:r>
              <w:rPr>
                <w:rFonts w:ascii="Times New Roman" w:eastAsia="Times New Roman" w:hAnsi="Times New Roman" w:cs="Times New Roman"/>
                <w:b w:val="0"/>
                <w:i w:val="0"/>
                <w:vanish w:val="0"/>
                <w:color w:val="000000"/>
                <w:sz w:val="24"/>
                <w:vertAlign w:val="baseline"/>
              </w:rPr>
              <w:t xml:space="preserve"> Finančna podskupina v sodelovanju z organom upravljanja spremlja programiranje skladov AMIF in BMVI, namenjenih izvajanju Pakta. Prav tako vodi pripravo ocene potreb po dodatnih virih, spremlja porabo sredstev oziroma stanje izvrševanja v času izvajanja Pakta o migracijah ter predlaga omilitvene ukrepe ob ugotavljanju tveganj.</w:t>
            </w:r>
          </w:p>
          <w:p w:rsidR="00A77B3E">
            <w:pPr>
              <w:spacing w:before="100" w:after="0"/>
              <w:jc w:val="left"/>
              <w:rPr>
                <w:rFonts w:ascii="Times New Roman" w:eastAsia="Times New Roman" w:hAnsi="Times New Roman" w:cs="Times New Roman"/>
                <w:b w:val="0"/>
                <w:i w:val="0"/>
                <w:vanish w:val="0"/>
                <w:color w:val="000000"/>
                <w:sz w:val="24"/>
                <w:vertAlign w:val="baseline"/>
              </w:rPr>
            </w:pPr>
            <w:r>
              <w:rPr>
                <w:rStyle w:val="Strong"/>
                <w:rFonts w:ascii="Times New Roman" w:eastAsia="Times New Roman" w:hAnsi="Times New Roman" w:cs="Times New Roman"/>
                <w:b w:val="0"/>
                <w:i w:val="0"/>
                <w:vanish w:val="0"/>
                <w:color w:val="000000"/>
                <w:sz w:val="24"/>
                <w:vertAlign w:val="baseline"/>
              </w:rPr>
              <w:t>Poročanje upravičencev v skladu z obstoječim sistemom upravljanja in nadzora:</w:t>
            </w:r>
            <w:r>
              <w:rPr>
                <w:rFonts w:ascii="Times New Roman" w:eastAsia="Times New Roman" w:hAnsi="Times New Roman" w:cs="Times New Roman"/>
                <w:b w:val="0"/>
                <w:i w:val="0"/>
                <w:vanish w:val="0"/>
                <w:color w:val="000000"/>
                <w:sz w:val="24"/>
                <w:vertAlign w:val="baseline"/>
              </w:rPr>
              <w:t xml:space="preserve"> Za učinkovito spremljanje napredka bodo upravičenci redno poročali o izvajanju dejavnosti v okviru zahtevkov za povračilo sredstev. Izvajanje projektov bo potekalo v skladu z obstoječim sistemom upravljanja in nadzora, ki velja za AMIF, ISF in BMVI, ter vsemi navodili Evropske komisije, organa upravljanja ipd. Pravilnost in popolnost uporabe sredstev bosta ocenjeni na enak način kot pri vseh projektih ISF, AMIF ali BMVI. Pri tem bodo upoštevana vsa navodila iz CPR (npr. prepoznavnost, preglednost, upravičenost, terenski pregledi). Podatki iz zahtevkov za povračilo bodo organu upravljanja omogočili sprotno spremljanje izvajanja ukrepov, doseganje rezultatov in pravočasno odzivanje na morebitna odstopanja ali potrebe po prilagoditvah.</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Predstavniki upravičencev bodo na ravni posameznih resorjev redno poročali o stanju izvajanja na sejah podskupin. Ta poročila bodo predstavljena v okviru delovanja delovne skupine, kar bo omogočilo celovit in usklajen pregled nad izvajanjem Pakta na nacionalni ravni.</w:t>
            </w:r>
          </w:p>
          <w:p w:rsidR="00A77B3E">
            <w:pPr>
              <w:spacing w:before="100" w:after="0"/>
              <w:jc w:val="left"/>
              <w:rPr>
                <w:rFonts w:ascii="Times New Roman" w:eastAsia="Times New Roman" w:hAnsi="Times New Roman" w:cs="Times New Roman"/>
                <w:b w:val="0"/>
                <w:i w:val="0"/>
                <w:vanish w:val="0"/>
                <w:color w:val="000000"/>
                <w:sz w:val="24"/>
                <w:vertAlign w:val="baseline"/>
              </w:rPr>
            </w:pPr>
            <w:r>
              <w:rPr>
                <w:rStyle w:val="Strong"/>
                <w:rFonts w:ascii="Times New Roman" w:eastAsia="Times New Roman" w:hAnsi="Times New Roman" w:cs="Times New Roman"/>
                <w:b w:val="0"/>
                <w:i w:val="0"/>
                <w:vanish w:val="0"/>
                <w:color w:val="000000"/>
                <w:sz w:val="24"/>
                <w:vertAlign w:val="baseline"/>
              </w:rPr>
              <w:t xml:space="preserve">Vključenost OSS: </w:t>
            </w:r>
            <w:r>
              <w:rPr>
                <w:rFonts w:ascii="Times New Roman" w:eastAsia="Times New Roman" w:hAnsi="Times New Roman" w:cs="Times New Roman"/>
                <w:b w:val="0"/>
                <w:i w:val="0"/>
                <w:vanish w:val="0"/>
                <w:color w:val="000000"/>
                <w:sz w:val="24"/>
                <w:vertAlign w:val="baseline"/>
              </w:rPr>
              <w:t>V skladu z načelom partnerstva bo OSS obveščen o stanju izvajanja Pakta o migracijah in bo lahko na svojih sejah podal mnenje. Ker bo Pakt o migracijah vključen v program AMIF, bo OSS potrdil spremenjeni program in v okviru svojih pristojnosti nadziral njegovo izvajanje.</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Style w:val="Strong"/>
                <w:rFonts w:ascii="Times New Roman" w:eastAsia="Times New Roman" w:hAnsi="Times New Roman" w:cs="Times New Roman"/>
                <w:b w:val="0"/>
                <w:i w:val="0"/>
                <w:vanish w:val="0"/>
                <w:color w:val="000000"/>
                <w:sz w:val="24"/>
                <w:vertAlign w:val="baseline"/>
              </w:rPr>
              <w:t>Usklajevanje partnerjev in deležnikov:</w:t>
            </w:r>
            <w:r>
              <w:rPr>
                <w:rFonts w:ascii="Times New Roman" w:eastAsia="Times New Roman" w:hAnsi="Times New Roman" w:cs="Times New Roman"/>
                <w:b w:val="0"/>
                <w:i w:val="0"/>
                <w:vanish w:val="0"/>
                <w:color w:val="000000"/>
                <w:sz w:val="24"/>
                <w:vertAlign w:val="baseline"/>
              </w:rPr>
              <w:t xml:space="preserve"> Usklajevanje vključuje tako državne kot tudi nevladne akterje, v skladu z načelom partnerstva. Usklajevanje z deležniki v času izvajanja bo potekalo v okviru OSS ali, kjer bo to ustrezno, v drugih oblikah (sestanki, posvetovanja ipd.).</w:t>
            </w:r>
          </w:p>
          <w:p w:rsidR="00A77B3E">
            <w:pPr>
              <w:spacing w:before="100" w:after="0"/>
              <w:jc w:val="left"/>
              <w:rPr>
                <w:rFonts w:ascii="Times New Roman" w:eastAsia="Times New Roman" w:hAnsi="Times New Roman" w:cs="Times New Roman"/>
                <w:b w:val="0"/>
                <w:i w:val="0"/>
                <w:vanish w:val="0"/>
                <w:color w:val="000000"/>
                <w:sz w:val="24"/>
                <w:vertAlign w:val="baseline"/>
              </w:rPr>
            </w:pPr>
            <w:r>
              <w:rPr>
                <w:rStyle w:val="Strong"/>
                <w:rFonts w:ascii="Times New Roman" w:eastAsia="Times New Roman" w:hAnsi="Times New Roman" w:cs="Times New Roman"/>
                <w:b w:val="0"/>
                <w:i w:val="0"/>
                <w:vanish w:val="0"/>
                <w:color w:val="000000"/>
                <w:sz w:val="24"/>
                <w:vertAlign w:val="baseline"/>
              </w:rPr>
              <w:t>Komplementarnosti in sinergije:</w:t>
            </w:r>
            <w:r>
              <w:rPr>
                <w:rFonts w:ascii="Times New Roman" w:eastAsia="Times New Roman" w:hAnsi="Times New Roman" w:cs="Times New Roman"/>
                <w:b w:val="0"/>
                <w:i w:val="0"/>
                <w:vanish w:val="0"/>
                <w:color w:val="000000"/>
                <w:sz w:val="24"/>
                <w:vertAlign w:val="baseline"/>
              </w:rPr>
              <w:t xml:space="preserve"> Med skladi na področju notranjih zadev (AMIF, SNV, IUMV) so zaznane pomembne sinergije na področju upravljanja migracij, vzpostavitve in posodabljanja infrastrukture vezane na migracije, storitve pri obravnavi oseb ter pri preprečevanju kriminala. Kar se tiče komplementarnosti in razmejitev jih je zaznati predvsem na področju informacijskih sistemov, saj zaradi prepletanja vsebin in interoperabilnosti segajo na področje upravljanja meja, migracij in notranje varnosti. Vezano na izvajanje Pakta o migracijah in azilu obstaja tudi močna sinergija z IUMV ter dejavnostmi, uvedenimi v podporo Paktu. Sredstva SA za IUMV bodo uporabljena za ustvarjanje večnamenskih nastanitvenih zmogljivosti, predvsem za preglede, vendar bodo delno uporabljena tudi za mejne postopke, če bo to potrebno. Poleg tega bodo sredstva iz proračuna IUMV uporabljena za razvoj sistema EURODAC in njegove povezave z več informacijskimi rešitvami, ki prav tako prispevajo k upravljanju migracij. IUMV bo posredno podpiral tudi mejne postopke, saj bo kril stroške osebja, vključenega v horizontalne naloge (npr. varnost) v prostorih za izvajanje preverjanja (angl. screening).</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Skladno s tem je potrebna posebna pozornost pri oblikovanju ustrezne razmejitve med skladi. Ker je OU za vse HOME sklade eden, so znotraj vzpostavljeni mehanizmi za zagotavljanje učinkovitega spremljanja.</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OU je vzpostavil sistem za sodelovanja z OU za druge sklade, ki so vključeni v partnerski sporazum. V ta namen bodo vzpostavljeni mehanizmi za zagotavljanje učinkovitega spremljanja. Le-ti bodo potekali na podlagi medresorskih skupin in usklajevanj, sestankov, posvetov ter medsebojnega pregleda dokumentacije. Ključno je spremljanje komplementarnosti z ESS+ in ESRR. To zagotavljamo že v fazi načrtovanja z jasno razmejitvijo aktivnosti, ki se bodo financirane iz posameznega sklada ter z redno izmenjavo informacij v času izvajanja, da se doseže največji skupni učinek.</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Za dopolnjevanje in doseganje sinergij z drugimi instrumenti Unije, ki niso zajeti v Partnerskem sporazumu, ima OU za HOME sklade tudi vzpostavljena sodelovanja. Za zagotavljanje učinkovitega spremljanja bodo organizirani sestanki, posveti, medresorski pregled dokumentacije in izbranih operacij, sodelovanje na OSS in MDS, redna poročanja o odobrenih operacijah ter drugi vzpostavljeni mehanizmi. Poudarek bo tudi na vzpostavitvi sodelovanja in izmenjave informacij organi zadolženimi za upravljanje drugih EU skladov, ki omogočajo financiranje aktivnosti vezano na pomoč osebam z začasno zaščiti iz Ukrajine.</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Style w:val="Emphasis"/>
                <w:rFonts w:ascii="Times New Roman" w:eastAsia="Times New Roman" w:hAnsi="Times New Roman" w:cs="Times New Roman"/>
                <w:b w:val="0"/>
                <w:i w:val="0"/>
                <w:vanish w:val="0"/>
                <w:color w:val="000000"/>
                <w:sz w:val="24"/>
                <w:vertAlign w:val="baseline"/>
              </w:rPr>
              <w:t>ZARADI OMEJITVE ŠTEVILA ZNAKOV SLEDI NADALJEVANJE V 1. DELU: STRATEGIJA PROGRAMA.</w:t>
            </w:r>
          </w:p>
          <w:p w:rsidR="00A77B3E">
            <w:pPr>
              <w:spacing w:before="100" w:after="0"/>
              <w:jc w:val="left"/>
              <w:rPr>
                <w:rFonts w:ascii="Times New Roman" w:eastAsia="Times New Roman" w:hAnsi="Times New Roman" w:cs="Times New Roman"/>
                <w:b w:val="0"/>
                <w:i w:val="0"/>
                <w:vanish w:val="0"/>
                <w:color w:val="000000"/>
                <w:sz w:val="6"/>
                <w:vertAlign w:val="baseline"/>
              </w:rPr>
            </w:pPr>
          </w:p>
          <w:p w:rsidR="00A77B3E">
            <w:pPr>
              <w:spacing w:before="100" w:after="0"/>
              <w:jc w:val="left"/>
              <w:rPr>
                <w:rFonts w:ascii="Times New Roman" w:eastAsia="Times New Roman" w:hAnsi="Times New Roman" w:cs="Times New Roman"/>
                <w:b w:val="0"/>
                <w:i w:val="0"/>
                <w:vanish w:val="0"/>
                <w:color w:val="000000"/>
                <w:sz w:val="6"/>
                <w:vertAlign w:val="baseline"/>
              </w:rPr>
            </w:pPr>
          </w:p>
        </w:tc>
      </w:tr>
    </w:tbl>
    <w:p w:rsidR="00A77B3E">
      <w:pPr>
        <w:pStyle w:val="Heading1"/>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br w:type="page"/>
      </w:r>
      <w:bookmarkStart w:id="46" w:name="_Toc256000109"/>
      <w:r>
        <w:rPr>
          <w:rFonts w:ascii="Times New Roman" w:eastAsia="Times New Roman" w:hAnsi="Times New Roman" w:cs="Times New Roman"/>
          <w:b w:val="0"/>
          <w:i w:val="0"/>
          <w:vanish w:val="0"/>
          <w:color w:val="000000"/>
          <w:sz w:val="24"/>
          <w:vertAlign w:val="baseline"/>
        </w:rPr>
        <w:t>7. Komuniciranje in prepoznavnost</w:t>
      </w:r>
      <w:bookmarkEnd w:id="46"/>
    </w:p>
    <w:p w:rsidR="00A77B3E">
      <w:pPr>
        <w:spacing w:before="100" w:after="0"/>
        <w:jc w:val="left"/>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24"/>
          <w:vertAlign w:val="baseline"/>
        </w:rPr>
        <w:t>Sklic: člen 22(3)(j) uredbe o skupnih določbah</w:t>
      </w:r>
    </w:p>
    <w:p w:rsidR="00A77B3E">
      <w:pPr>
        <w:spacing w:before="100" w:after="0"/>
        <w:jc w:val="left"/>
        <w:rPr>
          <w:rFonts w:ascii="Times New Roman" w:eastAsia="Times New Roman" w:hAnsi="Times New Roman" w:cs="Times New Roman"/>
          <w:b w:val="0"/>
          <w:i w:val="0"/>
          <w:vanish w:val="0"/>
          <w:color w:val="000000"/>
          <w:sz w:val="12"/>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10240"/>
      </w:tblGrid>
      <w:tr>
        <w:tblPrEx>
          <w:tblW w:w="5000" w:type="pct"/>
          <w:tblLayout w:type="fixed"/>
        </w:tblPrEx>
        <w:trPr>
          <w:cantSplit w:val="0"/>
          <w:trHeight w:val="160"/>
          <w:tblHeader w:val="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left"/>
              <w:rPr>
                <w:rFonts w:ascii="Times New Roman" w:eastAsia="Times New Roman" w:hAnsi="Times New Roman" w:cs="Times New Roman"/>
                <w:b w:val="0"/>
                <w:i w:val="0"/>
                <w:vanish w:val="0"/>
                <w:color w:val="000000"/>
                <w:sz w:val="0"/>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OU prevzema vlogo koordinatorja s področja komuniciranja na ravni države članice za AMIF, ISF in BMVI. Glavni namen komuniciranja na področju skladov notranje varnosti je promocija aktivnosti in dosežkov skladov ter informiranje različnih javnosti za povečanje njihove aktivne vključenosti, kar bi prispevalo k učinkovitemu izvajanju politike s področja notranje varnosti in migracij.</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Glavne ciljne skupine (deležniki) so:</w:t>
            </w:r>
          </w:p>
          <w:p w:rsidR="00A77B3E">
            <w:pPr>
              <w:numPr>
                <w:ilvl w:val="0"/>
                <w:numId w:val="23"/>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potencialni upravičenci,</w:t>
            </w:r>
          </w:p>
          <w:p w:rsidR="00A77B3E">
            <w:pPr>
              <w:numPr>
                <w:ilvl w:val="0"/>
                <w:numId w:val="23"/>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upravičenci z zakonskimi pristojnostmi s področja,</w:t>
            </w:r>
          </w:p>
          <w:p w:rsidR="00A77B3E">
            <w:pPr>
              <w:numPr>
                <w:ilvl w:val="0"/>
                <w:numId w:val="23"/>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upravičenci, ki izvajajo operacije preko javnih razpisov (nevladne organizacije),</w:t>
            </w:r>
          </w:p>
          <w:p w:rsidR="00A77B3E">
            <w:pPr>
              <w:numPr>
                <w:ilvl w:val="0"/>
                <w:numId w:val="23"/>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ekonomsko-socialni partnerji,</w:t>
            </w:r>
          </w:p>
          <w:p w:rsidR="00A77B3E">
            <w:pPr>
              <w:numPr>
                <w:ilvl w:val="0"/>
                <w:numId w:val="23"/>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splošna javnost.</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Glavni komunikacijski cilji so informiranje in osveščanje o:</w:t>
            </w:r>
          </w:p>
          <w:p w:rsidR="00A77B3E">
            <w:pPr>
              <w:numPr>
                <w:ilvl w:val="0"/>
                <w:numId w:val="24"/>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možnostih koriščenja in dodeljenih sredstvih skladov,</w:t>
            </w:r>
          </w:p>
          <w:p w:rsidR="00A77B3E">
            <w:pPr>
              <w:numPr>
                <w:ilvl w:val="0"/>
                <w:numId w:val="24"/>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informacijah o skladih,</w:t>
            </w:r>
          </w:p>
          <w:p w:rsidR="00A77B3E">
            <w:pPr>
              <w:numPr>
                <w:ilvl w:val="0"/>
                <w:numId w:val="24"/>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dosežkih, učinkih in rezultatih operacij.</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V prvem delu programskega obdobja bo namen komuniciranja seznanjanje javnosti z novostmi v izvajanju skladov s področja notranje varnosti in migracij v programskem obdobju 2021–2027 in samim sistemom izvajanja, informiranje različnih ciljnih skupin o možnostih sofinanciranja in spodbujanje vključevanja (potencialnih) upravičencev ter drugih deležnikov za čim bolj učinkovito črpanje evropskih sredstev. V drugem delu bo večji poudarek na dvigu prepoznavanja in oblikovanju pozitivne podobe evropske politike s področja notranje varnosti in migracij v očeh splošne javnosti, predvsem preko širjenja dobrih praks in rezultatov, pri čemer bodo »glavni ambasadorji« uspešne operacije in njihove zgodbe.</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Zgoraj opisane aktivnosti se bodo izvajale skladno z nacionalno komunikacijsko strategijo Slovenije ter letnimi komunikacijskimi načrti OU, kjer bodo opisane podrobne aktivnosti in bodo usklajeni z nacionalnim koordinatorjem za komuniciranje. Novost je enoten spletni portal www.evropskasredstva.si, na katerem bodo predstavljene relevantne informacije o izvajanju evropske politike v obdobju 2021-2027 v Sloveniji.</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Glede na različne ciljne skupine bodo komunikacijske aktivnosti ciljno usmerjene. Načrtovana komunikacijska orodja in kanali za izvajanje dejavnosti prepoznavnosti, preglednosti in komuniciranja politike na področju notranjih zadev v obdobju 2021-2027 so:</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 xml:space="preserve">- </w:t>
            </w:r>
            <w:r>
              <w:rPr>
                <w:rStyle w:val="Strong"/>
                <w:rFonts w:ascii="Times New Roman" w:eastAsia="Times New Roman" w:hAnsi="Times New Roman" w:cs="Times New Roman"/>
                <w:b w:val="0"/>
                <w:i w:val="0"/>
                <w:vanish w:val="0"/>
                <w:color w:val="000000"/>
                <w:sz w:val="24"/>
                <w:vertAlign w:val="baseline"/>
              </w:rPr>
              <w:t>SPLETNE STRANI</w:t>
            </w:r>
            <w:r>
              <w:rPr>
                <w:rFonts w:ascii="Times New Roman" w:eastAsia="Times New Roman" w:hAnsi="Times New Roman" w:cs="Times New Roman"/>
                <w:b w:val="0"/>
                <w:i w:val="0"/>
                <w:vanish w:val="0"/>
                <w:color w:val="000000"/>
                <w:sz w:val="24"/>
                <w:vertAlign w:val="baseline"/>
              </w:rPr>
              <w:t xml:space="preserve"> (programski dokumenti, predstavitvena gradiva, avdio-vizualne produkcije, sporočila za javnost, druge promocijske in informativne objave)</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Kazalniki učinka (KU): št. obiskov, št. obiskovalcev, ki jih identificirajo brskalniki, št. ogledov strani</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Kazalniki rezultata (KR): stopnja konverzije: prenosi, registracije, izpolnjeni obrazci, stopnja obiskov, dolžina seje itd., splošna uporabnost spletnega mesta in/ali strani, št. ponovnih obiskovalcev</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Kazalniki vpliva (KV): št. obiskovalcev, ki imajo bolj pozitivno mnenje o EU, kot rezultat spletnega obiska, verjetnost zagovarjanja ali pozitivnega govora o EU, kot rezultat spletnega obiska</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 xml:space="preserve">- </w:t>
            </w:r>
            <w:r>
              <w:rPr>
                <w:rStyle w:val="Strong"/>
                <w:rFonts w:ascii="Times New Roman" w:eastAsia="Times New Roman" w:hAnsi="Times New Roman" w:cs="Times New Roman"/>
                <w:b w:val="0"/>
                <w:i w:val="0"/>
                <w:vanish w:val="0"/>
                <w:color w:val="000000"/>
                <w:sz w:val="24"/>
                <w:vertAlign w:val="baseline"/>
              </w:rPr>
              <w:t>SOCIALNA OMREŽJA</w:t>
            </w:r>
            <w:r>
              <w:rPr>
                <w:rFonts w:ascii="Times New Roman" w:eastAsia="Times New Roman" w:hAnsi="Times New Roman" w:cs="Times New Roman"/>
                <w:b w:val="0"/>
                <w:i w:val="0"/>
                <w:vanish w:val="0"/>
                <w:color w:val="000000"/>
                <w:sz w:val="24"/>
                <w:vertAlign w:val="baseline"/>
              </w:rPr>
              <w:t xml:space="preserve"> - Facebook, Twitter, Instagram (sporočila za javnost, avdio-vizualne produkcije, druge promocijske in informativne objave)</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KU: št. prikazov, št. sledilcev/oboževalcev/naročnikov</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KR: št. angažiranosti: delitve, všečki, 'kliki' ali komentarji, št. omemb</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KV: odstotek oseb, ki imajo zaradi sodelovanja v vsebini socialnih omrežij bolj pozitivno mnenje o EU</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 xml:space="preserve">- </w:t>
            </w:r>
            <w:r>
              <w:rPr>
                <w:rStyle w:val="Strong"/>
                <w:rFonts w:ascii="Times New Roman" w:eastAsia="Times New Roman" w:hAnsi="Times New Roman" w:cs="Times New Roman"/>
                <w:b w:val="0"/>
                <w:i w:val="0"/>
                <w:vanish w:val="0"/>
                <w:color w:val="000000"/>
                <w:sz w:val="24"/>
                <w:vertAlign w:val="baseline"/>
              </w:rPr>
              <w:t>VIDEOPOSNETKI IN FOTOGRAFIJE</w:t>
            </w:r>
            <w:r>
              <w:rPr>
                <w:rFonts w:ascii="Times New Roman" w:eastAsia="Times New Roman" w:hAnsi="Times New Roman" w:cs="Times New Roman"/>
                <w:b w:val="0"/>
                <w:i w:val="0"/>
                <w:vanish w:val="0"/>
                <w:color w:val="000000"/>
                <w:sz w:val="24"/>
                <w:vertAlign w:val="baseline"/>
              </w:rPr>
              <w:t xml:space="preserve"> (spletna stran, socialna omrežja)</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KU: št. ogledov, št. edinstvenih obiskovalcev strani videoposnetka, odstotek videoposnetkov z dokončanim ogledom 50 % ali več in 100 %</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KR: splošna uporabnost videoposnetka za gledalca, št. deljenj ali prenosov</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KV: št. gledalcev, ki imajo zaradi posnetka bolj pozitivno mnenje o EU, verjetnost, da bodo zagovarjali EU ali govorili pozitivno o EU, kot rezultat videoposnetka</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 xml:space="preserve">- </w:t>
            </w:r>
            <w:r>
              <w:rPr>
                <w:rStyle w:val="Strong"/>
                <w:rFonts w:ascii="Times New Roman" w:eastAsia="Times New Roman" w:hAnsi="Times New Roman" w:cs="Times New Roman"/>
                <w:b w:val="0"/>
                <w:i w:val="0"/>
                <w:vanish w:val="0"/>
                <w:color w:val="000000"/>
                <w:sz w:val="24"/>
                <w:vertAlign w:val="baseline"/>
              </w:rPr>
              <w:t>DOGODKI</w:t>
            </w:r>
            <w:r>
              <w:rPr>
                <w:rFonts w:ascii="Times New Roman" w:eastAsia="Times New Roman" w:hAnsi="Times New Roman" w:cs="Times New Roman"/>
                <w:b w:val="0"/>
                <w:i w:val="0"/>
                <w:vanish w:val="0"/>
                <w:color w:val="000000"/>
                <w:sz w:val="24"/>
                <w:vertAlign w:val="baseline"/>
              </w:rPr>
              <w:t xml:space="preserve"> (informativni, izobraževalni in drugi dogodki)</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KU: št. udeležencev, odstotek udeležencev, ki prvič obiščejo dogodek</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KR: splošna uporabnost dogodka, odstotek udeležencev, ki so izjavili, da bodo delili ali pozitivno govorili o dogodku</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KV: odstotek udeležencev, ki imajo zaradi dogodka bolj pozitivno mnenje o EU</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 xml:space="preserve">- </w:t>
            </w:r>
            <w:r>
              <w:rPr>
                <w:rStyle w:val="Strong"/>
                <w:rFonts w:ascii="Times New Roman" w:eastAsia="Times New Roman" w:hAnsi="Times New Roman" w:cs="Times New Roman"/>
                <w:b w:val="0"/>
                <w:i w:val="0"/>
                <w:vanish w:val="0"/>
                <w:color w:val="000000"/>
                <w:sz w:val="24"/>
                <w:vertAlign w:val="baseline"/>
              </w:rPr>
              <w:t>PUBLIKACIJE</w:t>
            </w:r>
            <w:r>
              <w:rPr>
                <w:rFonts w:ascii="Times New Roman" w:eastAsia="Times New Roman" w:hAnsi="Times New Roman" w:cs="Times New Roman"/>
                <w:b w:val="0"/>
                <w:i w:val="0"/>
                <w:vanish w:val="0"/>
                <w:color w:val="000000"/>
                <w:sz w:val="24"/>
                <w:vertAlign w:val="baseline"/>
              </w:rPr>
              <w:t xml:space="preserve"> (programski dokumenti, drugi promocijski in informativni materiali)</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KU: št. bralcev/poslušalcev/prenosov publikacije</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KR: splošna uporabnost publikacije za bralca</w:t>
            </w: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KV: št. bralcev, ki imajo zaradi objave bolj pozitivno mnenje o politiki/organizaciji</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OU bo pri izvajanju aktivnosti vzpostavil kontinuirano in aktivno sodelovanje s partnerji, npr. z Evropsko komisijo (DG HOME) in Evropskim Parlamentom, nacionalnim koordinatorjem za komuniciranje (INFORM-SI), Uradom Vlade RS za komuniciranje in drugimi organi upravljanja programov, ki jih sofinancira EU. Imenovan je komunikator.</w:t>
            </w:r>
          </w:p>
          <w:p w:rsidR="00A77B3E">
            <w:pPr>
              <w:spacing w:before="100" w:after="0"/>
              <w:jc w:val="left"/>
              <w:rPr>
                <w:rFonts w:ascii="Times New Roman" w:eastAsia="Times New Roman" w:hAnsi="Times New Roman" w:cs="Times New Roman"/>
                <w:b w:val="0"/>
                <w:i w:val="0"/>
                <w:vanish w:val="0"/>
                <w:color w:val="000000"/>
                <w:sz w:val="24"/>
                <w:vertAlign w:val="baseline"/>
              </w:r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Finančna sredstva za izvajanje aktivnosti komuniciranja bodo zagotovljena v višini 5% sredstev tehnične pomoči in bodo namenjena:</w:t>
            </w:r>
          </w:p>
          <w:p w:rsidR="00A77B3E">
            <w:pPr>
              <w:numPr>
                <w:ilvl w:val="0"/>
                <w:numId w:val="25"/>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produkcijskim, oglaševalskim in drugim digitalnim aktivnostim (40%),</w:t>
            </w:r>
          </w:p>
          <w:p w:rsidR="00A77B3E">
            <w:pPr>
              <w:numPr>
                <w:ilvl w:val="0"/>
                <w:numId w:val="25"/>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publikacijam in promocijskim izdelkom (25%),</w:t>
            </w:r>
          </w:p>
          <w:p w:rsidR="00A77B3E">
            <w:pPr>
              <w:numPr>
                <w:ilvl w:val="0"/>
                <w:numId w:val="25"/>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organizaciji dogodkov in z njimi povezanih komunikacijskih aktivnosti (15%) in</w:t>
            </w:r>
          </w:p>
          <w:p w:rsidR="00A77B3E">
            <w:pPr>
              <w:numPr>
                <w:ilvl w:val="0"/>
                <w:numId w:val="25"/>
              </w:numPr>
              <w:spacing w:before="100" w:after="0"/>
              <w:ind w:left="720" w:hanging="36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drugim potrebnih podpornim aktivnostim (npr. stroški dela komunikatorjev) (20%).</w:t>
            </w:r>
          </w:p>
          <w:p w:rsidR="00A77B3E">
            <w:pPr>
              <w:spacing w:before="100" w:after="0"/>
              <w:jc w:val="left"/>
              <w:rPr>
                <w:rFonts w:ascii="Times New Roman" w:eastAsia="Times New Roman" w:hAnsi="Times New Roman" w:cs="Times New Roman"/>
                <w:b w:val="0"/>
                <w:i w:val="0"/>
                <w:vanish w:val="0"/>
                <w:color w:val="000000"/>
                <w:sz w:val="6"/>
                <w:vertAlign w:val="baseline"/>
              </w:rPr>
            </w:pPr>
          </w:p>
          <w:p w:rsidR="00A77B3E">
            <w:pPr>
              <w:spacing w:before="100" w:after="0"/>
              <w:jc w:val="left"/>
              <w:rPr>
                <w:rFonts w:ascii="Times New Roman" w:eastAsia="Times New Roman" w:hAnsi="Times New Roman" w:cs="Times New Roman"/>
                <w:b w:val="0"/>
                <w:i w:val="0"/>
                <w:vanish w:val="0"/>
                <w:color w:val="000000"/>
                <w:sz w:val="6"/>
                <w:vertAlign w:val="baseline"/>
              </w:rPr>
            </w:pPr>
          </w:p>
        </w:tc>
      </w:tr>
    </w:tbl>
    <w:p w:rsidR="00A77B3E">
      <w:pPr>
        <w:pStyle w:val="Heading1"/>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br w:type="page"/>
      </w:r>
      <w:bookmarkStart w:id="47" w:name="_Toc256000110"/>
      <w:r>
        <w:rPr>
          <w:rFonts w:ascii="Times New Roman" w:eastAsia="Times New Roman" w:hAnsi="Times New Roman" w:cs="Times New Roman"/>
          <w:b w:val="0"/>
          <w:i w:val="0"/>
          <w:vanish w:val="0"/>
          <w:color w:val="000000"/>
          <w:sz w:val="24"/>
          <w:vertAlign w:val="baseline"/>
        </w:rPr>
        <w:t>8. Uporaba stroškov na enoto, pavšalnih zneskov, pavšalnih stopenj in financiranja, ki ni povezano s stroški</w:t>
      </w:r>
      <w:bookmarkEnd w:id="47"/>
    </w:p>
    <w:p w:rsidR="00A77B3E">
      <w:pPr>
        <w:spacing w:before="100" w:after="0"/>
        <w:jc w:val="left"/>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24"/>
          <w:vertAlign w:val="baseline"/>
        </w:rPr>
        <w:t>Sklic: člena 94 in 95 uredbe o skupnih določbah</w:t>
      </w:r>
    </w:p>
    <w:p w:rsidR="00A77B3E">
      <w:pPr>
        <w:spacing w:before="100" w:after="0"/>
        <w:jc w:val="left"/>
        <w:rPr>
          <w:rFonts w:ascii="Times New Roman" w:eastAsia="Times New Roman" w:hAnsi="Times New Roman" w:cs="Times New Roman"/>
          <w:b w:val="0"/>
          <w:i w:val="0"/>
          <w:vanish w:val="0"/>
          <w:color w:val="000000"/>
          <w:sz w:val="12"/>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662"/>
        <w:gridCol w:w="354"/>
        <w:gridCol w:w="354"/>
      </w:tblGrid>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Načrtovana uporaba členov 94 in 95 uredbe o skupnih določbah</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Da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Ne</w:t>
            </w:r>
          </w:p>
        </w:tc>
      </w:tr>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Od sprejetja programa se bo uporabljalo povračilo prispevka Unije na podlagi stroškov na enoto, pavšalnih zneskov in pavšalnih stopenj v okviru prednostne naloge v skladu s členom 94 uredbe o skupnih določbah</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0"/>
                <w:vertAlign w:val="baseline"/>
              </w:rPr>
              <w:instrText xml:space="preserve"> FORMCHECKBOX </w:instrText>
            </w:r>
            <w:r>
              <w:rPr>
                <w:rFonts w:ascii="Times New Roman" w:eastAsia="Times New Roman" w:hAnsi="Times New Roman" w:cs="Times New Roman"/>
                <w:b w:val="0"/>
                <w:i w:val="0"/>
                <w:vanish w:val="0"/>
                <w:color w:val="000000"/>
                <w:sz w:val="20"/>
                <w:vertAlign w:val="baseline"/>
              </w:rPr>
              <w:fldChar w:fldCharType="end"/>
            </w:r>
            <w:r>
              <w:rPr>
                <w:rFonts w:ascii="Times New Roman" w:eastAsia="Times New Roman" w:hAnsi="Times New Roman" w:cs="Times New Roman"/>
                <w:b w:val="0"/>
                <w:i w:val="0"/>
                <w:vanish w:val="0"/>
                <w:color w:val="000000"/>
                <w:sz w:val="20"/>
                <w:vertAlign w:val="baseline"/>
              </w:rPr>
              <w:t xml:space="preserve">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0"/>
                <w:vertAlign w:val="baseline"/>
              </w:rPr>
              <w:instrText xml:space="preserve"> FORMCHECKBOX </w:instrText>
            </w:r>
            <w:r>
              <w:rPr>
                <w:rFonts w:ascii="Times New Roman" w:eastAsia="Times New Roman" w:hAnsi="Times New Roman" w:cs="Times New Roman"/>
                <w:b w:val="0"/>
                <w:i w:val="0"/>
                <w:vanish w:val="0"/>
                <w:color w:val="000000"/>
                <w:sz w:val="20"/>
                <w:vertAlign w:val="baseline"/>
              </w:rPr>
              <w:fldChar w:fldCharType="end"/>
            </w:r>
            <w:r>
              <w:rPr>
                <w:rFonts w:ascii="Times New Roman" w:eastAsia="Times New Roman" w:hAnsi="Times New Roman" w:cs="Times New Roman"/>
                <w:b w:val="0"/>
                <w:i w:val="0"/>
                <w:vanish w:val="0"/>
                <w:color w:val="000000"/>
                <w:sz w:val="20"/>
                <w:vertAlign w:val="baseline"/>
              </w:rPr>
              <w:t xml:space="preserve"> </w:t>
            </w:r>
          </w:p>
        </w:tc>
      </w:tr>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t>Od sprejetja programa se bo uporabljalo povračilo prispevka Unije na podlagi financiranja, ki ni povezano s stroški, v skladu s členom 95 uredbe o skupnih določbah</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fldChar w:fldCharType="begin">
                <w:ffData>
                  <w:name w:val=""/>
                  <w:enabled/>
                  <w:calcOnExit w:val="0"/>
                  <w:checkBox>
                    <w:size w:val="20"/>
                    <w:default w:val="0"/>
                    <w:checked w:val="0"/>
                  </w:checkBox>
                </w:ffData>
              </w:fldChar>
            </w:r>
            <w:r>
              <w:rPr>
                <w:rFonts w:ascii="Times New Roman" w:eastAsia="Times New Roman" w:hAnsi="Times New Roman" w:cs="Times New Roman"/>
                <w:b w:val="0"/>
                <w:i w:val="0"/>
                <w:vanish w:val="0"/>
                <w:color w:val="000000"/>
                <w:sz w:val="20"/>
                <w:vertAlign w:val="baseline"/>
              </w:rPr>
              <w:instrText xml:space="preserve"> FORMCHECKBOX </w:instrText>
            </w:r>
            <w:r>
              <w:rPr>
                <w:rFonts w:ascii="Times New Roman" w:eastAsia="Times New Roman" w:hAnsi="Times New Roman" w:cs="Times New Roman"/>
                <w:b w:val="0"/>
                <w:i w:val="0"/>
                <w:vanish w:val="0"/>
                <w:color w:val="000000"/>
                <w:sz w:val="20"/>
                <w:vertAlign w:val="baseline"/>
              </w:rPr>
              <w:fldChar w:fldCharType="end"/>
            </w:r>
            <w:r>
              <w:rPr>
                <w:rFonts w:ascii="Times New Roman" w:eastAsia="Times New Roman" w:hAnsi="Times New Roman" w:cs="Times New Roman"/>
                <w:b w:val="0"/>
                <w:i w:val="0"/>
                <w:vanish w:val="0"/>
                <w:color w:val="000000"/>
                <w:sz w:val="20"/>
                <w:vertAlign w:val="baseline"/>
              </w:rPr>
              <w:t xml:space="preserve">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20"/>
                <w:vertAlign w:val="baseline"/>
              </w:rPr>
            </w:pPr>
            <w:r>
              <w:rPr>
                <w:rFonts w:ascii="Times New Roman" w:eastAsia="Times New Roman" w:hAnsi="Times New Roman" w:cs="Times New Roman"/>
                <w:b w:val="0"/>
                <w:i w:val="0"/>
                <w:vanish w:val="0"/>
                <w:color w:val="000000"/>
                <w:sz w:val="20"/>
                <w:vertAlign w:val="baseline"/>
              </w:rPr>
              <w:fldChar w:fldCharType="begin">
                <w:ffData>
                  <w:name w:val=""/>
                  <w:enabled/>
                  <w:calcOnExit w:val="0"/>
                  <w:checkBox>
                    <w:size w:val="20"/>
                    <w:default w:val="1"/>
                    <w:checked w:val="1"/>
                  </w:checkBox>
                </w:ffData>
              </w:fldChar>
            </w:r>
            <w:r>
              <w:rPr>
                <w:rFonts w:ascii="Times New Roman" w:eastAsia="Times New Roman" w:hAnsi="Times New Roman" w:cs="Times New Roman"/>
                <w:b w:val="0"/>
                <w:i w:val="0"/>
                <w:vanish w:val="0"/>
                <w:color w:val="000000"/>
                <w:sz w:val="20"/>
                <w:vertAlign w:val="baseline"/>
              </w:rPr>
              <w:instrText xml:space="preserve"> FORMCHECKBOX </w:instrText>
            </w:r>
            <w:r>
              <w:rPr>
                <w:rFonts w:ascii="Times New Roman" w:eastAsia="Times New Roman" w:hAnsi="Times New Roman" w:cs="Times New Roman"/>
                <w:b w:val="0"/>
                <w:i w:val="0"/>
                <w:vanish w:val="0"/>
                <w:color w:val="000000"/>
                <w:sz w:val="20"/>
                <w:vertAlign w:val="baseline"/>
              </w:rPr>
              <w:fldChar w:fldCharType="end"/>
            </w:r>
            <w:r>
              <w:rPr>
                <w:rFonts w:ascii="Times New Roman" w:eastAsia="Times New Roman" w:hAnsi="Times New Roman" w:cs="Times New Roman"/>
                <w:b w:val="0"/>
                <w:i w:val="0"/>
                <w:vanish w:val="0"/>
                <w:color w:val="000000"/>
                <w:sz w:val="20"/>
                <w:vertAlign w:val="baseline"/>
              </w:rPr>
              <w:t xml:space="preserve"> </w:t>
            </w:r>
          </w:p>
        </w:tc>
      </w:tr>
    </w:tbl>
    <w:p w:rsidR="00A77B3E">
      <w:pPr>
        <w:spacing w:before="100" w:after="0"/>
        <w:jc w:val="center"/>
        <w:rPr>
          <w:rFonts w:ascii="Times New Roman" w:eastAsia="Times New Roman" w:hAnsi="Times New Roman" w:cs="Times New Roman"/>
          <w:b w:val="0"/>
          <w:i w:val="0"/>
          <w:vanish w:val="0"/>
          <w:color w:val="000000"/>
          <w:sz w:val="20"/>
          <w:vertAlign w:val="baseline"/>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orient="portrait"/>
          <w:pgMar w:top="720" w:right="936" w:bottom="864" w:left="720" w:header="0" w:footer="72" w:gutter="0"/>
          <w:cols w:space="708"/>
          <w:noEndnote/>
          <w:docGrid w:linePitch="360"/>
        </w:sectPr>
      </w:pPr>
    </w:p>
    <w:p w:rsidR="00A77B3E">
      <w:pPr>
        <w:pStyle w:val="Heading1"/>
        <w:spacing w:before="100" w:after="0"/>
        <w:jc w:val="left"/>
        <w:rPr>
          <w:rFonts w:ascii="Times New Roman" w:eastAsia="Times New Roman" w:hAnsi="Times New Roman" w:cs="Times New Roman"/>
          <w:b w:val="0"/>
          <w:i w:val="0"/>
          <w:vanish w:val="0"/>
          <w:color w:val="000000"/>
          <w:sz w:val="24"/>
          <w:vertAlign w:val="baseline"/>
        </w:rPr>
      </w:pPr>
      <w:bookmarkStart w:id="48" w:name="_Toc256000111"/>
      <w:r>
        <w:rPr>
          <w:rFonts w:ascii="Times New Roman" w:eastAsia="Times New Roman" w:hAnsi="Times New Roman" w:cs="Times New Roman"/>
          <w:b w:val="0"/>
          <w:i w:val="0"/>
          <w:vanish w:val="0"/>
          <w:color w:val="000000"/>
          <w:sz w:val="24"/>
          <w:vertAlign w:val="baseline"/>
        </w:rPr>
        <w:t>Dodatek 1: Prispevek Unije na podlagi stroškov na enoto, pavšalnih zneskov in pavšalnih stopenj</w:t>
      </w:r>
      <w:bookmarkEnd w:id="48"/>
    </w:p>
    <w:p w:rsidR="00A77B3E">
      <w:pPr>
        <w:pStyle w:val="Heading2"/>
        <w:spacing w:before="100" w:after="0"/>
        <w:jc w:val="left"/>
        <w:rPr>
          <w:rFonts w:ascii="Times New Roman" w:eastAsia="Times New Roman" w:hAnsi="Times New Roman" w:cs="Times New Roman"/>
          <w:b w:val="0"/>
          <w:i w:val="0"/>
          <w:vanish w:val="0"/>
          <w:color w:val="000000"/>
          <w:sz w:val="24"/>
          <w:vertAlign w:val="baseline"/>
        </w:rPr>
      </w:pPr>
      <w:bookmarkStart w:id="49" w:name="_Toc256000112"/>
      <w:r>
        <w:rPr>
          <w:rFonts w:ascii="Times New Roman" w:eastAsia="Times New Roman" w:hAnsi="Times New Roman" w:cs="Times New Roman"/>
          <w:b w:val="0"/>
          <w:i w:val="0"/>
          <w:vanish w:val="0"/>
          <w:color w:val="000000"/>
          <w:sz w:val="24"/>
          <w:vertAlign w:val="baseline"/>
        </w:rPr>
        <w:t>A. Povzetek glavnih elementov</w:t>
      </w:r>
      <w:bookmarkEnd w:id="49"/>
    </w:p>
    <w:p w:rsidR="00A77B3E">
      <w:pPr>
        <w:spacing w:before="100" w:after="0"/>
        <w:jc w:val="left"/>
        <w:rPr>
          <w:rFonts w:ascii="Times New Roman" w:eastAsia="Times New Roman" w:hAnsi="Times New Roman" w:cs="Times New Roman"/>
          <w:b w:val="0"/>
          <w:i w:val="0"/>
          <w:vanish w:val="0"/>
          <w:color w:val="000000"/>
          <w:sz w:val="12"/>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00"/>
        <w:gridCol w:w="1500"/>
        <w:gridCol w:w="1300"/>
        <w:gridCol w:w="2000"/>
        <w:gridCol w:w="1300"/>
        <w:gridCol w:w="2000"/>
        <w:gridCol w:w="1500"/>
        <w:gridCol w:w="1200"/>
        <w:gridCol w:w="1500"/>
      </w:tblGrid>
      <w:tr>
        <w:tblPrEx>
          <w:tblW w:w="5000" w:type="pct"/>
        </w:tblPrEx>
        <w:trPr>
          <w:cantSplit w:val="0"/>
          <w:trHeight w:hRule="auto" w:val="0"/>
          <w:tblHeader/>
        </w:trPr>
        <w:tc>
          <w:tcPr>
            <w:tcW w:w="29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Specifični cilj</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Ocenjeni delež skupnih dodeljenih finančnih sredstev v okviru specifičnega cilja, za katerega bodo veljale poenostavljene možnosti obračunavanja stroškov, v %</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Vrste zajetih operacij</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Kazalnik, na podlagi katerega se izplača povračilo (2)</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Merska enota za kazalnik, ki sproži povračilo</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Vrsta poenostavljenih možnosti obračunavanja stroškov (standardna lestvica stroškov na enoto, pavšalni zneski ali pavšalne stopnje)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Znesek (v EUR) ali odstotni delež (v primeru pavšalne stopnje) poenostavljenih možnosti obračunavanja stroškov</w:t>
            </w:r>
          </w:p>
        </w:tc>
      </w:tr>
      <w:tr>
        <w:tblPrEx>
          <w:tblW w:w="5000" w:type="pct"/>
        </w:tblPrEx>
        <w:trPr>
          <w:cantSplit w:val="0"/>
          <w:trHeight w:hRule="auto" w:val="0"/>
          <w:tblHeader/>
        </w:trPr>
        <w:tc>
          <w:tcPr>
            <w:tcW w:w="29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Oznaka(1)</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Opis</w:t>
            </w: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Oznaka(2)</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Opis</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p>
        </w:tc>
      </w:tr>
    </w:tbl>
    <w:p w:rsidR="00A77B3E">
      <w:pPr>
        <w:spacing w:before="100" w:after="0"/>
        <w:jc w:val="left"/>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(1) To se nanaša na kodo v Prilogi VI uredb o AMIF, IUMV in SNV.</w:t>
      </w:r>
    </w:p>
    <w:p w:rsidR="00A77B3E">
      <w:pPr>
        <w:spacing w:before="100" w:after="0"/>
        <w:jc w:val="left"/>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(2) To se nanaša na kodo skupnega kazalnika, če je ustrezno.</w:t>
      </w:r>
    </w:p>
    <w:p w:rsidR="00A77B3E">
      <w:pPr>
        <w:spacing w:before="100" w:after="0"/>
        <w:jc w:val="left"/>
        <w:rPr>
          <w:rFonts w:ascii="Times New Roman" w:eastAsia="Times New Roman" w:hAnsi="Times New Roman" w:cs="Times New Roman"/>
          <w:b w:val="0"/>
          <w:i w:val="0"/>
          <w:vanish w:val="0"/>
          <w:color w:val="000000"/>
          <w:sz w:val="24"/>
          <w:vertAlign w:val="baseline"/>
        </w:rPr>
        <w:sectPr>
          <w:headerReference w:type="even" r:id="rId88"/>
          <w:headerReference w:type="default" r:id="rId89"/>
          <w:footerReference w:type="even" r:id="rId90"/>
          <w:footerReference w:type="default" r:id="rId91"/>
          <w:headerReference w:type="first" r:id="rId92"/>
          <w:footerReference w:type="first" r:id="rId93"/>
          <w:type w:val="nextPage"/>
          <w:pgSz w:w="16838" w:h="11906" w:orient="landscape"/>
          <w:pgMar w:top="720" w:right="720" w:bottom="864" w:left="936" w:header="288" w:footer="72" w:gutter="0"/>
          <w:cols w:space="708"/>
          <w:noEndnote/>
          <w:docGrid w:linePitch="360"/>
        </w:sectPr>
      </w:pPr>
    </w:p>
    <w:p w:rsidR="00A77B3E">
      <w:pPr>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t>Dodatek 1: Prispevek Unije na podlagi stroškov na enoto, pavšalnih zneskov in pavšalnih stopenj</w:t>
      </w:r>
    </w:p>
    <w:p w:rsidR="00A77B3E">
      <w:pPr>
        <w:pStyle w:val="Heading2"/>
        <w:spacing w:before="100" w:after="0"/>
        <w:jc w:val="left"/>
        <w:rPr>
          <w:rFonts w:ascii="Times New Roman" w:eastAsia="Times New Roman" w:hAnsi="Times New Roman" w:cs="Times New Roman"/>
          <w:b w:val="0"/>
          <w:i w:val="0"/>
          <w:vanish w:val="0"/>
          <w:color w:val="000000"/>
          <w:sz w:val="24"/>
          <w:vertAlign w:val="baseline"/>
        </w:rPr>
      </w:pPr>
      <w:bookmarkStart w:id="50" w:name="_Toc256000113"/>
      <w:r>
        <w:rPr>
          <w:rFonts w:ascii="Times New Roman" w:eastAsia="Times New Roman" w:hAnsi="Times New Roman" w:cs="Times New Roman"/>
          <w:b w:val="0"/>
          <w:i w:val="0"/>
          <w:vanish w:val="0"/>
          <w:color w:val="000000"/>
          <w:sz w:val="24"/>
          <w:vertAlign w:val="baseline"/>
        </w:rPr>
        <w:t>B. Podrobnosti glede na vrsto operacije</w:t>
      </w:r>
      <w:bookmarkEnd w:id="50"/>
    </w:p>
    <w:p w:rsidR="00A77B3E">
      <w:pPr>
        <w:spacing w:before="100" w:after="0"/>
        <w:jc w:val="left"/>
        <w:rPr>
          <w:rFonts w:ascii="Times New Roman" w:eastAsia="Times New Roman" w:hAnsi="Times New Roman" w:cs="Times New Roman"/>
          <w:b w:val="0"/>
          <w:i w:val="0"/>
          <w:vanish w:val="0"/>
          <w:color w:val="000000"/>
          <w:sz w:val="24"/>
          <w:vertAlign w:val="baseline"/>
        </w:rPr>
        <w:sectPr>
          <w:type w:val="nextPage"/>
          <w:pgSz w:w="16838" w:h="11906" w:orient="landscape"/>
          <w:pgMar w:top="720" w:right="720" w:bottom="864" w:left="936" w:header="288" w:footer="72" w:gutter="0"/>
          <w:cols w:space="708"/>
          <w:noEndnote/>
          <w:docGrid w:linePitch="360"/>
        </w:sectPr>
      </w:pPr>
    </w:p>
    <w:p w:rsidR="00A77B3E">
      <w:pPr>
        <w:pStyle w:val="Heading2"/>
        <w:spacing w:before="100" w:after="0"/>
        <w:jc w:val="left"/>
        <w:rPr>
          <w:rFonts w:ascii="TimesNewRoman" w:eastAsia="TimesNewRoman" w:hAnsi="TimesNewRoman" w:cs="TimesNewRoman"/>
          <w:b w:val="0"/>
          <w:i w:val="0"/>
          <w:vanish w:val="0"/>
          <w:color w:val="000000"/>
          <w:sz w:val="24"/>
          <w:vertAlign w:val="baseline"/>
        </w:rPr>
      </w:pPr>
      <w:bookmarkStart w:id="51" w:name="_Toc256000114"/>
      <w:r>
        <w:rPr>
          <w:rFonts w:ascii="TimesNewRoman" w:eastAsia="TimesNewRoman" w:hAnsi="TimesNewRoman" w:cs="TimesNewRoman"/>
          <w:b w:val="0"/>
          <w:i w:val="0"/>
          <w:vanish w:val="0"/>
          <w:color w:val="000000"/>
          <w:sz w:val="24"/>
          <w:vertAlign w:val="baseline"/>
        </w:rPr>
        <w:t>C. Izračun standardnih stroškov na enoto, pavšalnih zneskov in pavšalnih stopenj</w:t>
      </w:r>
      <w:bookmarkEnd w:id="51"/>
    </w:p>
    <w:p w:rsidR="00A77B3E">
      <w:pPr>
        <w:pStyle w:val="Heading4"/>
        <w:spacing w:before="100" w:after="0"/>
        <w:jc w:val="left"/>
        <w:rPr>
          <w:rFonts w:ascii="TimesNewRoman" w:eastAsia="TimesNewRoman" w:hAnsi="TimesNewRoman" w:cs="TimesNewRoman"/>
          <w:b w:val="0"/>
          <w:i w:val="0"/>
          <w:vanish w:val="0"/>
          <w:color w:val="000000"/>
          <w:sz w:val="24"/>
          <w:vertAlign w:val="baseline"/>
        </w:rPr>
      </w:pPr>
      <w:bookmarkStart w:id="52" w:name="_Toc256000115"/>
      <w:r>
        <w:rPr>
          <w:rFonts w:ascii="TimesNewRoman" w:eastAsia="TimesNewRoman" w:hAnsi="TimesNewRoman" w:cs="TimesNewRoman"/>
          <w:b w:val="0"/>
          <w:i w:val="0"/>
          <w:vanish w:val="0"/>
          <w:color w:val="000000"/>
          <w:sz w:val="24"/>
          <w:vertAlign w:val="baseline"/>
        </w:rPr>
        <w:t>1. Vir podatkov, uporabljenih za izračun standardnih stroškov na enoto, pavšalnih zneskov ali pavšalnih stopenj (kdo je predložil, zbral in evidentiral podatke; kje so podatki shranjeni; presečni datumi; potrjevanje itd.)</w:t>
      </w:r>
      <w:bookmarkEnd w:id="52"/>
    </w:p>
    <w:p w:rsidR="00A77B3E">
      <w:pPr>
        <w:spacing w:before="100" w:after="0"/>
        <w:jc w:val="left"/>
        <w:rPr>
          <w:rFonts w:ascii="TimesNewRoman" w:eastAsia="TimesNewRoman" w:hAnsi="TimesNewRoman" w:cs="TimesNewRoman"/>
          <w:b w:val="0"/>
          <w:i w:val="0"/>
          <w:vanish w:val="0"/>
          <w:color w:val="000000"/>
          <w:sz w:val="12"/>
          <w:vertAlign w:val="baseline"/>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385"/>
      </w:tblGrid>
      <w:tr>
        <w:tblPrEx>
          <w:tblW w:w="4950" w:type="pct"/>
          <w:tblInd w:w="80" w:type="dxa"/>
        </w:tblPrEx>
        <w:trPr>
          <w:cantSplit w:val="0"/>
          <w:trHeight w:hRule="auto" w:val="0"/>
        </w:trPr>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pPr>
              <w:spacing w:before="100" w:after="0"/>
              <w:jc w:val="left"/>
              <w:rPr>
                <w:rFonts w:ascii="Times New Roman" w:eastAsia="Times New Roman" w:hAnsi="Times New Roman" w:cs="Times New Roman"/>
                <w:b w:val="0"/>
                <w:i w:val="0"/>
                <w:vanish w:val="0"/>
                <w:color w:val="000000"/>
                <w:sz w:val="24"/>
                <w:vertAlign w:val="baseline"/>
              </w:rPr>
            </w:pPr>
          </w:p>
        </w:tc>
      </w:tr>
    </w:tbl>
    <w:p w:rsidR="00A77B3E">
      <w:pPr>
        <w:pStyle w:val="Heading4"/>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br w:type="page"/>
      </w:r>
      <w:bookmarkStart w:id="53" w:name="_Toc256000116"/>
      <w:r>
        <w:rPr>
          <w:rFonts w:ascii="Times New Roman" w:eastAsia="Times New Roman" w:hAnsi="Times New Roman" w:cs="Times New Roman"/>
          <w:b w:val="0"/>
          <w:i w:val="0"/>
          <w:vanish w:val="0"/>
          <w:color w:val="000000"/>
          <w:sz w:val="24"/>
          <w:vertAlign w:val="baseline"/>
        </w:rPr>
        <w:t>2. Navedite, zakaj sta predlagana metoda in izračun na podlagi člena 94(2) uredbe o skupnih določbah relevantna za vrsto operacije.</w:t>
      </w:r>
      <w:bookmarkEnd w:id="53"/>
    </w:p>
    <w:p w:rsidR="00A77B3E">
      <w:pPr>
        <w:spacing w:before="100" w:after="0"/>
        <w:jc w:val="left"/>
        <w:rPr>
          <w:rFonts w:ascii="Times New Roman" w:eastAsia="Times New Roman" w:hAnsi="Times New Roman" w:cs="Times New Roman"/>
          <w:b w:val="0"/>
          <w:i w:val="0"/>
          <w:vanish w:val="0"/>
          <w:color w:val="000000"/>
          <w:sz w:val="12"/>
          <w:vertAlign w:val="baseline"/>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385"/>
      </w:tblGrid>
      <w:tr>
        <w:tblPrEx>
          <w:tblW w:w="4950" w:type="pct"/>
          <w:tblInd w:w="80" w:type="dxa"/>
        </w:tblPrEx>
        <w:trPr>
          <w:cantSplit w:val="0"/>
          <w:trHeight w:hRule="auto" w:val="0"/>
        </w:trPr>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pPr>
              <w:spacing w:before="100" w:after="0"/>
              <w:jc w:val="left"/>
              <w:rPr>
                <w:rFonts w:ascii="Times New Roman" w:eastAsia="Times New Roman" w:hAnsi="Times New Roman" w:cs="Times New Roman"/>
                <w:b w:val="0"/>
                <w:i w:val="0"/>
                <w:vanish w:val="0"/>
                <w:color w:val="000000"/>
                <w:sz w:val="24"/>
                <w:vertAlign w:val="baseline"/>
              </w:rPr>
            </w:pPr>
          </w:p>
        </w:tc>
      </w:tr>
    </w:tbl>
    <w:p w:rsidR="00A77B3E">
      <w:pPr>
        <w:pStyle w:val="Heading4"/>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br w:type="page"/>
      </w:r>
      <w:bookmarkStart w:id="54" w:name="_Toc256000117"/>
      <w:r>
        <w:rPr>
          <w:rFonts w:ascii="Times New Roman" w:eastAsia="Times New Roman" w:hAnsi="Times New Roman" w:cs="Times New Roman"/>
          <w:b w:val="0"/>
          <w:i w:val="0"/>
          <w:vanish w:val="0"/>
          <w:color w:val="000000"/>
          <w:sz w:val="24"/>
          <w:vertAlign w:val="baseline"/>
        </w:rPr>
        <w:t>3. Navedite, kako so bili izračuni narejeni, vključno zlasti s predpostavkami v smislu kakovosti ali količin. Če je to relevantno, je treba uporabiti in na zahtevo predložiti statistične dokaze in referenčne vrednosti v obliki, ki jo lahko uporabi Evropska komisija.</w:t>
      </w:r>
      <w:bookmarkEnd w:id="54"/>
    </w:p>
    <w:p w:rsidR="00A77B3E">
      <w:pPr>
        <w:spacing w:before="100" w:after="0"/>
        <w:jc w:val="left"/>
        <w:rPr>
          <w:rFonts w:ascii="Times New Roman" w:eastAsia="Times New Roman" w:hAnsi="Times New Roman" w:cs="Times New Roman"/>
          <w:b w:val="0"/>
          <w:i w:val="0"/>
          <w:vanish w:val="0"/>
          <w:color w:val="000000"/>
          <w:sz w:val="12"/>
          <w:vertAlign w:val="baseline"/>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385"/>
      </w:tblGrid>
      <w:tr>
        <w:tblPrEx>
          <w:tblW w:w="4950" w:type="pct"/>
          <w:tblInd w:w="80" w:type="dxa"/>
        </w:tblPrEx>
        <w:trPr>
          <w:cantSplit w:val="0"/>
          <w:trHeight w:hRule="auto" w:val="0"/>
        </w:trPr>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pPr>
              <w:spacing w:before="100" w:after="0"/>
              <w:jc w:val="left"/>
              <w:rPr>
                <w:rFonts w:ascii="Times New Roman" w:eastAsia="Times New Roman" w:hAnsi="Times New Roman" w:cs="Times New Roman"/>
                <w:b w:val="0"/>
                <w:i w:val="0"/>
                <w:vanish w:val="0"/>
                <w:color w:val="000000"/>
                <w:sz w:val="24"/>
                <w:vertAlign w:val="baseline"/>
              </w:rPr>
            </w:pPr>
          </w:p>
        </w:tc>
      </w:tr>
    </w:tbl>
    <w:p w:rsidR="00A77B3E">
      <w:pPr>
        <w:pStyle w:val="Heading4"/>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br w:type="page"/>
      </w:r>
      <w:bookmarkStart w:id="55" w:name="_Toc256000118"/>
      <w:r>
        <w:rPr>
          <w:rFonts w:ascii="Times New Roman" w:eastAsia="Times New Roman" w:hAnsi="Times New Roman" w:cs="Times New Roman"/>
          <w:b w:val="0"/>
          <w:i w:val="0"/>
          <w:vanish w:val="0"/>
          <w:color w:val="000000"/>
          <w:sz w:val="24"/>
          <w:vertAlign w:val="baseline"/>
        </w:rPr>
        <w:t>4. Pojasnite, kako ste zagotovili, da so bili v izračun standardnih stroškov na enoto, pavšalnega zneska ali pavšalne stopnje vključeni le upravičeni izdatki.</w:t>
      </w:r>
      <w:bookmarkEnd w:id="55"/>
    </w:p>
    <w:p w:rsidR="00A77B3E">
      <w:pPr>
        <w:spacing w:before="100" w:after="0"/>
        <w:jc w:val="left"/>
        <w:rPr>
          <w:rFonts w:ascii="Times New Roman" w:eastAsia="Times New Roman" w:hAnsi="Times New Roman" w:cs="Times New Roman"/>
          <w:b w:val="0"/>
          <w:i w:val="0"/>
          <w:vanish w:val="0"/>
          <w:color w:val="000000"/>
          <w:sz w:val="12"/>
          <w:vertAlign w:val="baseline"/>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385"/>
      </w:tblGrid>
      <w:tr>
        <w:tblPrEx>
          <w:tblW w:w="4950" w:type="pct"/>
          <w:tblInd w:w="80" w:type="dxa"/>
        </w:tblPrEx>
        <w:trPr>
          <w:cantSplit w:val="0"/>
          <w:trHeight w:hRule="auto" w:val="0"/>
        </w:trPr>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pPr>
              <w:spacing w:before="100" w:after="0"/>
              <w:jc w:val="left"/>
              <w:rPr>
                <w:rFonts w:ascii="Times New Roman" w:eastAsia="Times New Roman" w:hAnsi="Times New Roman" w:cs="Times New Roman"/>
                <w:b w:val="0"/>
                <w:i w:val="0"/>
                <w:vanish w:val="0"/>
                <w:color w:val="000000"/>
                <w:sz w:val="24"/>
                <w:vertAlign w:val="baseline"/>
              </w:rPr>
            </w:pPr>
          </w:p>
        </w:tc>
      </w:tr>
    </w:tbl>
    <w:p w:rsidR="00A77B3E">
      <w:pPr>
        <w:pStyle w:val="Heading4"/>
        <w:spacing w:before="100" w:after="0"/>
        <w:jc w:val="left"/>
        <w:rPr>
          <w:rFonts w:ascii="Times New Roman" w:eastAsia="Times New Roman" w:hAnsi="Times New Roman" w:cs="Times New Roman"/>
          <w:b w:val="0"/>
          <w:i w:val="0"/>
          <w:vanish w:val="0"/>
          <w:color w:val="000000"/>
          <w:sz w:val="24"/>
          <w:vertAlign w:val="baseline"/>
        </w:rPr>
      </w:pPr>
      <w:r>
        <w:rPr>
          <w:rFonts w:ascii="Times New Roman" w:eastAsia="Times New Roman" w:hAnsi="Times New Roman" w:cs="Times New Roman"/>
          <w:b w:val="0"/>
          <w:i w:val="0"/>
          <w:vanish w:val="0"/>
          <w:color w:val="000000"/>
          <w:sz w:val="24"/>
          <w:vertAlign w:val="baseline"/>
        </w:rPr>
        <w:br w:type="page"/>
      </w:r>
      <w:bookmarkStart w:id="56" w:name="_Toc256000119"/>
      <w:r>
        <w:rPr>
          <w:rFonts w:ascii="Times New Roman" w:eastAsia="Times New Roman" w:hAnsi="Times New Roman" w:cs="Times New Roman"/>
          <w:b w:val="0"/>
          <w:i w:val="0"/>
          <w:vanish w:val="0"/>
          <w:color w:val="000000"/>
          <w:sz w:val="24"/>
          <w:vertAlign w:val="baseline"/>
        </w:rPr>
        <w:t>5. Ocena revizijskega organa v zvezi z metodologijo za izračun in zneski ter ureditvijo za zagotovitev potrjevanja, kakovosti, zbiranja in shranjevanja podatkov.</w:t>
      </w:r>
      <w:bookmarkEnd w:id="56"/>
    </w:p>
    <w:p w:rsidR="00A77B3E">
      <w:pPr>
        <w:spacing w:before="100" w:after="0"/>
        <w:jc w:val="left"/>
        <w:rPr>
          <w:rFonts w:ascii="Times New Roman" w:eastAsia="Times New Roman" w:hAnsi="Times New Roman" w:cs="Times New Roman"/>
          <w:b w:val="0"/>
          <w:i w:val="0"/>
          <w:vanish w:val="0"/>
          <w:color w:val="000000"/>
          <w:sz w:val="12"/>
          <w:vertAlign w:val="baseline"/>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385"/>
      </w:tblGrid>
      <w:tr>
        <w:tblPrEx>
          <w:tblW w:w="4950" w:type="pct"/>
          <w:tblInd w:w="80" w:type="dxa"/>
        </w:tblPrEx>
        <w:trPr>
          <w:cantSplit w:val="0"/>
          <w:trHeight w:hRule="auto" w:val="0"/>
        </w:trPr>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pPr>
              <w:spacing w:before="100" w:after="0"/>
              <w:jc w:val="left"/>
              <w:rPr>
                <w:rFonts w:ascii="Times New Roman" w:eastAsia="Times New Roman" w:hAnsi="Times New Roman" w:cs="Times New Roman"/>
                <w:b w:val="0"/>
                <w:i w:val="0"/>
                <w:vanish w:val="0"/>
                <w:color w:val="000000"/>
                <w:sz w:val="24"/>
                <w:vertAlign w:val="baseline"/>
              </w:rPr>
            </w:pPr>
          </w:p>
        </w:tc>
      </w:tr>
    </w:tbl>
    <w:p w:rsidR="00A77B3E">
      <w:pPr>
        <w:spacing w:before="100" w:after="0"/>
        <w:jc w:val="left"/>
        <w:rPr>
          <w:rFonts w:ascii="Times New Roman" w:eastAsia="Times New Roman" w:hAnsi="Times New Roman" w:cs="Times New Roman"/>
          <w:b w:val="0"/>
          <w:i w:val="0"/>
          <w:vanish w:val="0"/>
          <w:color w:val="000000"/>
          <w:sz w:val="24"/>
          <w:vertAlign w:val="baseline"/>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orient="portrait"/>
          <w:pgMar w:top="720" w:right="936" w:bottom="864" w:left="720" w:header="0" w:footer="72" w:gutter="0"/>
          <w:cols w:space="708"/>
          <w:noEndnote/>
          <w:docGrid w:linePitch="360"/>
        </w:sectPr>
      </w:pPr>
    </w:p>
    <w:p w:rsidR="00A77B3E">
      <w:pPr>
        <w:pStyle w:val="Heading1"/>
        <w:spacing w:before="100" w:after="0"/>
        <w:jc w:val="left"/>
        <w:rPr>
          <w:rFonts w:ascii="Times New Roman" w:eastAsia="Times New Roman" w:hAnsi="Times New Roman" w:cs="Times New Roman"/>
          <w:b w:val="0"/>
          <w:i w:val="0"/>
          <w:vanish w:val="0"/>
          <w:color w:val="000000"/>
          <w:sz w:val="24"/>
          <w:vertAlign w:val="baseline"/>
        </w:rPr>
      </w:pPr>
      <w:bookmarkStart w:id="57" w:name="_Toc256000120"/>
      <w:r>
        <w:rPr>
          <w:rFonts w:ascii="Times New Roman" w:eastAsia="Times New Roman" w:hAnsi="Times New Roman" w:cs="Times New Roman"/>
          <w:b w:val="0"/>
          <w:i w:val="0"/>
          <w:vanish w:val="0"/>
          <w:color w:val="000000"/>
          <w:sz w:val="24"/>
          <w:vertAlign w:val="baseline"/>
        </w:rPr>
        <w:t>Dodatek 2: Prispevek Unije, temelječ na financiranju, ki ni povezano s stroški</w:t>
      </w:r>
      <w:bookmarkEnd w:id="57"/>
    </w:p>
    <w:p w:rsidR="00A77B3E">
      <w:pPr>
        <w:pStyle w:val="Heading2"/>
        <w:spacing w:before="100" w:after="0"/>
        <w:jc w:val="left"/>
        <w:rPr>
          <w:rFonts w:ascii="Times New Roman" w:eastAsia="Times New Roman" w:hAnsi="Times New Roman" w:cs="Times New Roman"/>
          <w:b w:val="0"/>
          <w:i w:val="0"/>
          <w:vanish w:val="0"/>
          <w:color w:val="000000"/>
          <w:sz w:val="24"/>
          <w:vertAlign w:val="baseline"/>
        </w:rPr>
      </w:pPr>
      <w:bookmarkStart w:id="58" w:name="_Toc256000121"/>
      <w:r>
        <w:rPr>
          <w:rFonts w:ascii="Times New Roman" w:eastAsia="Times New Roman" w:hAnsi="Times New Roman" w:cs="Times New Roman"/>
          <w:b w:val="0"/>
          <w:i w:val="0"/>
          <w:vanish w:val="0"/>
          <w:color w:val="000000"/>
          <w:sz w:val="24"/>
          <w:vertAlign w:val="baseline"/>
        </w:rPr>
        <w:t>A. Povzetek glavnih elementov</w:t>
      </w:r>
      <w:bookmarkEnd w:id="58"/>
    </w:p>
    <w:p w:rsidR="00A77B3E">
      <w:pPr>
        <w:spacing w:before="100" w:after="0"/>
        <w:jc w:val="left"/>
        <w:rPr>
          <w:rFonts w:ascii="Times New Roman" w:eastAsia="Times New Roman" w:hAnsi="Times New Roman" w:cs="Times New Roman"/>
          <w:b w:val="0"/>
          <w:i w:val="0"/>
          <w:vanish w:val="0"/>
          <w:color w:val="000000"/>
          <w:sz w:val="12"/>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000"/>
        <w:gridCol w:w="1500"/>
        <w:gridCol w:w="1200"/>
        <w:gridCol w:w="1500"/>
        <w:gridCol w:w="1800"/>
        <w:gridCol w:w="1500"/>
        <w:gridCol w:w="1500"/>
        <w:gridCol w:w="1500"/>
        <w:gridCol w:w="2000"/>
      </w:tblGrid>
      <w:tr>
        <w:tblPrEx>
          <w:tblW w:w="5000" w:type="pct"/>
        </w:tblPrEx>
        <w:trPr>
          <w:cantSplit w:val="0"/>
          <w:trHeight w:hRule="auto" w:val="0"/>
          <w:tblHeader/>
        </w:trPr>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Specifični cilj</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Znesek, zajet s financiranjem, ki ni povezano s stroški</w:t>
            </w:r>
          </w:p>
        </w:tc>
        <w:tc>
          <w:tcPr>
            <w:tcW w:w="27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Vrste zajetih operacij</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Pogoji, ki jih je treba izpolniti/rezultati, ki jih je treba doseči, da Komisija izplača povračilo</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Kazalniki</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Merska enota za pogoje, ki jih je treba izpolniti/rezultate, ki jih je treba doseči za povračilo s strani Evropske komisije</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Načrtovana vrsta metode, ki se uporabi za povračila upravičencu (upravičencem)</w:t>
            </w:r>
          </w:p>
        </w:tc>
      </w:tr>
      <w:tr>
        <w:tblPrEx>
          <w:tblW w:w="5000" w:type="pct"/>
        </w:tblPrEx>
        <w:trPr>
          <w:cantSplit w:val="0"/>
          <w:trHeight w:hRule="auto" w:val="0"/>
          <w:tblHeader/>
        </w:trPr>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Oznaka(1)</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Opis</w:t>
            </w:r>
          </w:p>
        </w:tc>
        <w:tc>
          <w:tcPr>
            <w:tcW w:w="1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Oznaka(2)</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Opis</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 New Roman" w:eastAsia="Times New Roman" w:hAnsi="Times New Roman" w:cs="Times New Roman"/>
                <w:b w:val="0"/>
                <w:i w:val="0"/>
                <w:vanish w:val="0"/>
                <w:color w:val="000000"/>
                <w:sz w:val="12"/>
                <w:vertAlign w:val="baseline"/>
              </w:rPr>
            </w:pPr>
          </w:p>
        </w:tc>
      </w:tr>
    </w:tbl>
    <w:p w:rsidR="00A77B3E">
      <w:pPr>
        <w:spacing w:before="100" w:after="0"/>
        <w:jc w:val="left"/>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(1) To se nanaša na kodo v Prilogi VI uredb o AMIF, IUMV in SNV.</w:t>
      </w:r>
    </w:p>
    <w:p w:rsidR="00A77B3E">
      <w:pPr>
        <w:spacing w:before="100" w:after="0"/>
        <w:jc w:val="left"/>
        <w:rPr>
          <w:rFonts w:ascii="Times New Roman" w:eastAsia="Times New Roman" w:hAnsi="Times New Roman" w:cs="Times New Roman"/>
          <w:b w:val="0"/>
          <w:i w:val="0"/>
          <w:vanish w:val="0"/>
          <w:color w:val="000000"/>
          <w:sz w:val="12"/>
          <w:vertAlign w:val="baseline"/>
        </w:rPr>
      </w:pPr>
      <w:r>
        <w:rPr>
          <w:rFonts w:ascii="Times New Roman" w:eastAsia="Times New Roman" w:hAnsi="Times New Roman" w:cs="Times New Roman"/>
          <w:b w:val="0"/>
          <w:i w:val="0"/>
          <w:vanish w:val="0"/>
          <w:color w:val="000000"/>
          <w:sz w:val="12"/>
          <w:vertAlign w:val="baseline"/>
        </w:rPr>
        <w:t>(2) To se nanaša na kodo skupnega kazalnika, če je ustrezno.</w:t>
      </w:r>
    </w:p>
    <w:p w:rsidR="00A77B3E">
      <w:pPr>
        <w:spacing w:before="100" w:after="0"/>
        <w:jc w:val="left"/>
        <w:rPr>
          <w:rFonts w:ascii="Times New Roman" w:eastAsia="Times New Roman" w:hAnsi="Times New Roman" w:cs="Times New Roman"/>
          <w:b w:val="0"/>
          <w:i w:val="0"/>
          <w:vanish w:val="0"/>
          <w:color w:val="000000"/>
          <w:sz w:val="12"/>
          <w:vertAlign w:val="baseline"/>
        </w:rPr>
        <w:sectPr>
          <w:headerReference w:type="even" r:id="rId100"/>
          <w:headerReference w:type="default" r:id="rId101"/>
          <w:footerReference w:type="even" r:id="rId102"/>
          <w:footerReference w:type="default" r:id="rId103"/>
          <w:headerReference w:type="first" r:id="rId104"/>
          <w:footerReference w:type="first" r:id="rId105"/>
          <w:type w:val="nextPage"/>
          <w:pgSz w:w="16838" w:h="11906" w:orient="landscape"/>
          <w:pgMar w:top="720" w:right="720" w:bottom="864" w:left="936" w:header="288" w:footer="72" w:gutter="0"/>
          <w:cols w:space="708"/>
          <w:noEndnote/>
          <w:docGrid w:linePitch="360"/>
        </w:sectPr>
      </w:pPr>
    </w:p>
    <w:p w:rsidR="00A77B3E">
      <w:pPr>
        <w:pStyle w:val="Heading2"/>
        <w:spacing w:before="100" w:after="0"/>
        <w:jc w:val="left"/>
        <w:rPr>
          <w:rFonts w:ascii="TimesNewRoman" w:eastAsia="TimesNewRoman" w:hAnsi="TimesNewRoman" w:cs="TimesNewRoman"/>
          <w:b w:val="0"/>
          <w:i w:val="0"/>
          <w:vanish w:val="0"/>
          <w:color w:val="000000"/>
          <w:sz w:val="24"/>
          <w:vertAlign w:val="baseline"/>
        </w:rPr>
      </w:pPr>
      <w:bookmarkStart w:id="59" w:name="_Toc256000122"/>
      <w:r>
        <w:rPr>
          <w:rFonts w:ascii="TimesNewRoman" w:eastAsia="TimesNewRoman" w:hAnsi="TimesNewRoman" w:cs="TimesNewRoman"/>
          <w:b w:val="0"/>
          <w:i w:val="0"/>
          <w:vanish w:val="0"/>
          <w:color w:val="000000"/>
          <w:sz w:val="24"/>
          <w:vertAlign w:val="baseline"/>
        </w:rPr>
        <w:t>B. Podrobnosti glede na vrsto operacije</w:t>
      </w:r>
      <w:bookmarkEnd w:id="59"/>
    </w:p>
    <w:p w:rsidR="00A77B3E">
      <w:pPr>
        <w:spacing w:before="100" w:after="0"/>
        <w:jc w:val="left"/>
        <w:rPr>
          <w:rFonts w:ascii="TimesNewRoman" w:eastAsia="TimesNewRoman" w:hAnsi="TimesNewRoman" w:cs="TimesNewRoman"/>
          <w:b w:val="0"/>
          <w:i w:val="0"/>
          <w:vanish w:val="0"/>
          <w:color w:val="000000"/>
          <w:sz w:val="24"/>
          <w:vertAlign w:val="baseline"/>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orient="portrait"/>
          <w:pgMar w:top="720" w:right="936" w:bottom="864" w:left="720" w:header="0" w:footer="72" w:gutter="0"/>
          <w:cols w:space="708"/>
          <w:noEndnote/>
          <w:docGrid w:linePitch="360"/>
        </w:sectPr>
      </w:pPr>
    </w:p>
    <w:p w:rsidR="00A77B3E">
      <w:pPr>
        <w:pStyle w:val="Heading1"/>
        <w:spacing w:before="100" w:after="0"/>
        <w:jc w:val="left"/>
        <w:rPr>
          <w:rFonts w:ascii="TimesNewRoman" w:eastAsia="TimesNewRoman" w:hAnsi="TimesNewRoman" w:cs="TimesNewRoman"/>
          <w:b w:val="0"/>
          <w:i w:val="0"/>
          <w:vanish w:val="0"/>
          <w:color w:val="000000"/>
          <w:sz w:val="24"/>
          <w:vertAlign w:val="baseline"/>
        </w:rPr>
      </w:pPr>
      <w:bookmarkStart w:id="60" w:name="_Toc256000123"/>
      <w:r>
        <w:rPr>
          <w:rFonts w:ascii="TimesNewRoman" w:eastAsia="TimesNewRoman" w:hAnsi="TimesNewRoman" w:cs="TimesNewRoman"/>
          <w:b w:val="0"/>
          <w:i w:val="0"/>
          <w:vanish w:val="0"/>
          <w:color w:val="000000"/>
          <w:sz w:val="24"/>
          <w:vertAlign w:val="baseline"/>
        </w:rPr>
        <w:t>Dodatek 3</w:t>
      </w:r>
      <w:bookmarkEnd w:id="60"/>
    </w:p>
    <w:p w:rsidR="00A77B3E">
      <w:pPr>
        <w:pStyle w:val="Heading2"/>
        <w:spacing w:before="100" w:after="0"/>
        <w:jc w:val="left"/>
        <w:rPr>
          <w:rFonts w:ascii="TimesNewRoman" w:eastAsia="TimesNewRoman" w:hAnsi="TimesNewRoman" w:cs="TimesNewRoman"/>
          <w:b w:val="0"/>
          <w:i w:val="0"/>
          <w:vanish w:val="0"/>
          <w:color w:val="000000"/>
          <w:sz w:val="24"/>
          <w:vertAlign w:val="baseline"/>
        </w:rPr>
      </w:pPr>
      <w:bookmarkStart w:id="61" w:name="_Toc256000124"/>
      <w:r>
        <w:rPr>
          <w:rFonts w:ascii="TimesNewRoman" w:eastAsia="TimesNewRoman" w:hAnsi="TimesNewRoman" w:cs="TimesNewRoman"/>
          <w:b w:val="0"/>
          <w:i w:val="0"/>
          <w:vanish w:val="0"/>
          <w:color w:val="000000"/>
          <w:sz w:val="24"/>
          <w:vertAlign w:val="baseline"/>
        </w:rPr>
        <w:t>Tematski instrument (člen 11 uredbe o AMIF, člen 8 uredbe o IUMV, člen 8 uredbe o SNV)</w:t>
      </w:r>
      <w:bookmarkEnd w:id="61"/>
    </w:p>
    <w:p w:rsidR="00A77B3E">
      <w:pPr>
        <w:spacing w:before="100" w:after="0"/>
        <w:jc w:val="left"/>
        <w:rPr>
          <w:rFonts w:ascii="TimesNewRoman" w:eastAsia="TimesNewRoman" w:hAnsi="TimesNewRoman" w:cs="TimesNewRoman"/>
          <w:b w:val="0"/>
          <w:i w:val="0"/>
          <w:vanish w:val="0"/>
          <w:color w:val="000000"/>
          <w:sz w:val="12"/>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772"/>
        <w:gridCol w:w="2995"/>
        <w:gridCol w:w="1724"/>
        <w:gridCol w:w="4038"/>
        <w:gridCol w:w="1773"/>
      </w:tblGrid>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Sklic na postopek</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Različica programa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Status</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Datum sprejema/zavrnitve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Opombe</w:t>
            </w:r>
          </w:p>
        </w:tc>
      </w:tr>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C(2022)8340 - 23. nov. 2022 - 4</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4.0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Sprejeto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13. maj 2026</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p>
        </w:tc>
      </w:tr>
      <w:tr>
        <w:tblPrEx>
          <w:tblW w:w="5000" w:type="pct"/>
        </w:tblPrEx>
        <w:trPr>
          <w:cantSplit w:val="0"/>
          <w:trHeight w:hRule="auto" w:val="0"/>
        </w:trPr>
        <w:tc>
          <w:tcPr>
            <w:gridSpan w:val="5"/>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0"/>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688"/>
              <w:gridCol w:w="2002"/>
              <w:gridCol w:w="1186"/>
              <w:gridCol w:w="1086"/>
              <w:gridCol w:w="2017"/>
              <w:gridCol w:w="4193"/>
            </w:tblGrid>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Specifični cilj</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Način</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Vrsta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Prispevek Unije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Stopnja predhodnega financiranja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Opis ukrepa</w:t>
                  </w:r>
                </w:p>
              </w:tc>
            </w:tr>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4. Solidarnost</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Preselitev in humanitarni sprejem</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250.000,00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AMIF Thematic Facility - Resettlement (Art. 19 AMIF Regulation)</w:t>
                  </w:r>
                </w:p>
              </w:tc>
            </w:tr>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TA.36(5). Tehnična pomoč – pavšalna stopnja(člen 36(5) uredbe o skupnih določbah)</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15.000,00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Technical Assistance in relation to Resettlement (Art. 19 AMIF Regulation)</w:t>
                  </w:r>
                </w:p>
              </w:tc>
            </w:tr>
          </w:tbl>
          <w:p w:rsidR="00A77B3E">
            <w:pPr>
              <w:spacing w:before="100" w:after="0"/>
              <w:jc w:val="left"/>
              <w:rPr>
                <w:rFonts w:ascii="TimesNewRoman" w:eastAsia="TimesNewRoman" w:hAnsi="TimesNewRoman" w:cs="TimesNewRoman"/>
                <w:b w:val="0"/>
                <w:i w:val="0"/>
                <w:vanish w:val="0"/>
                <w:color w:val="000000"/>
                <w:sz w:val="16"/>
                <w:vertAlign w:val="baseline"/>
              </w:rPr>
            </w:pPr>
          </w:p>
        </w:tc>
      </w:tr>
    </w:tbl>
    <w:p w:rsidR="00A77B3E">
      <w:pPr>
        <w:spacing w:before="100" w:after="0"/>
        <w:jc w:val="left"/>
        <w:rPr>
          <w:rFonts w:ascii="TimesNewRoman" w:eastAsia="TimesNewRoman" w:hAnsi="TimesNewRoman" w:cs="TimesNewRoman"/>
          <w:b w:val="0"/>
          <w:i w:val="0"/>
          <w:vanish w:val="0"/>
          <w:color w:val="000000"/>
          <w:sz w:val="16"/>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549"/>
        <w:gridCol w:w="2912"/>
        <w:gridCol w:w="1848"/>
        <w:gridCol w:w="4090"/>
        <w:gridCol w:w="1903"/>
      </w:tblGrid>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Sklic na postopek</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Različica programa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Status</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Datum sprejema/zavrnitve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Opombe</w:t>
            </w:r>
          </w:p>
        </w:tc>
      </w:tr>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C(2022)8340 - 23. nov. 2022 - 3</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3.0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Sprejeto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22. okt. 2025</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p>
        </w:tc>
      </w:tr>
      <w:tr>
        <w:tblPrEx>
          <w:tblW w:w="5000" w:type="pct"/>
        </w:tblPrEx>
        <w:trPr>
          <w:cantSplit w:val="0"/>
          <w:trHeight w:hRule="auto" w:val="0"/>
        </w:trPr>
        <w:tc>
          <w:tcPr>
            <w:gridSpan w:val="5"/>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0"/>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99"/>
              <w:gridCol w:w="1201"/>
              <w:gridCol w:w="999"/>
              <w:gridCol w:w="1074"/>
              <w:gridCol w:w="1370"/>
              <w:gridCol w:w="8129"/>
            </w:tblGrid>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Specifični cilj</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Način</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Vrsta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Prispevek Unije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Stopnja predhodnega financiranja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Opis ukrepa</w:t>
                  </w:r>
                </w:p>
              </w:tc>
            </w:tr>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1. Skupni evropski azilni sistem</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Pakt in posebni ukrep za Ukrajino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21.518.221,70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Under the Specific Action AMIF/2025/SA/Pact "Supporting the Implementation of the Pact on Migration and Asylum and the management of Temporary Protection", funding will contribute to several building blocks of the Common Implementation Plan for the Pact on Migration and Asylum, notably:</w:t>
                  </w: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tab/>
                    <w:t>Building Block 2 ‘A new system to manage migration flows at the EU external borders’, by contributing to the costs of:</w:t>
                  </w: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o</w:t>
                    <w:tab/>
                    <w:t>specialised staff dealing with applicants in the border procedures;</w:t>
                  </w: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o</w:t>
                    <w:tab/>
                    <w:t xml:space="preserve">providing support to applicants in the border procedure, including subsistence (e.g. accommodation, food and non-food items) and service costs (e.g. interpretation and translation); </w:t>
                  </w:r>
                </w:p>
                <w:p w:rsidR="00A77B3E">
                  <w:pPr>
                    <w:spacing w:before="100" w:after="0"/>
                    <w:jc w:val="left"/>
                    <w:rPr>
                      <w:rFonts w:ascii="TimesNewRoman" w:eastAsia="TimesNewRoman" w:hAnsi="TimesNewRoman" w:cs="TimesNewRoman"/>
                      <w:b w:val="0"/>
                      <w:i w:val="0"/>
                      <w:vanish w:val="0"/>
                      <w:color w:val="000000"/>
                      <w:sz w:val="16"/>
                      <w:vertAlign w:val="baseline"/>
                    </w:rPr>
                  </w:pP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tab/>
                    <w:t>Building Block 3 ‘Rethinking reception’, as well as Building Block 6 ‘A fair and efficient system: making the new responsibility rules work’, by contributing to the costs of:</w:t>
                  </w: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o</w:t>
                    <w:tab/>
                    <w:t>expansion of the reception capacity by renting or refurbishing special accommodations for applicants in the procedure for the ‘transfer to the responsible Member State’ with a capacity of indicatively 300 beds;</w:t>
                  </w: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o</w:t>
                    <w:tab/>
                    <w:t>hiring and training personnel, including, indicatively, 10 employees  to carry out tasks in the field of accommodation and material care for applicants and 4 employees  responsible for coordinating the work and tasks in the field of accommodation and care and conducting interviews and counselling where necessary;</w:t>
                  </w: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o</w:t>
                    <w:tab/>
                    <w:t>developing IT systems for integrated case management in reception (including, for example, the self-registration of applications for international protection, the upgrading of the asylum register and related online services, the automation of data transfers for administrative procedures, improved data warehouse and related functionalities);</w:t>
                  </w:r>
                </w:p>
                <w:p w:rsidR="00A77B3E">
                  <w:pPr>
                    <w:spacing w:before="100" w:after="0"/>
                    <w:jc w:val="left"/>
                    <w:rPr>
                      <w:rFonts w:ascii="TimesNewRoman" w:eastAsia="TimesNewRoman" w:hAnsi="TimesNewRoman" w:cs="TimesNewRoman"/>
                      <w:b w:val="0"/>
                      <w:i w:val="0"/>
                      <w:vanish w:val="0"/>
                      <w:color w:val="000000"/>
                      <w:sz w:val="16"/>
                      <w:vertAlign w:val="baseline"/>
                    </w:rPr>
                  </w:pP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tab/>
                    <w:t>Building Block 4 ‘Fair, efficient, and convergent asylum procedures’, by contributing to the costs of:</w:t>
                  </w: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o</w:t>
                    <w:tab/>
                    <w:t xml:space="preserve">hiring of personnel of the judiciary (for the Administrative Court, indicatively 4 senior judges, 2 judicial counsellors, 2 senior judicial advisers and 2 court clerks) as well as relevant training; </w:t>
                  </w: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o</w:t>
                    <w:tab/>
                    <w:t xml:space="preserve">renting of premises and purchasing of the related equipment (e.g. computer, microphones, audio recording devices, etc.); </w:t>
                  </w:r>
                </w:p>
                <w:p w:rsidR="00A77B3E">
                  <w:pPr>
                    <w:spacing w:before="100" w:after="0"/>
                    <w:jc w:val="left"/>
                    <w:rPr>
                      <w:rFonts w:ascii="TimesNewRoman" w:eastAsia="TimesNewRoman" w:hAnsi="TimesNewRoman" w:cs="TimesNewRoman"/>
                      <w:b w:val="0"/>
                      <w:i w:val="0"/>
                      <w:vanish w:val="0"/>
                      <w:color w:val="000000"/>
                      <w:sz w:val="16"/>
                      <w:vertAlign w:val="baseline"/>
                    </w:rPr>
                  </w:pP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tab/>
                    <w:t>Building Block 8 ‘Preparedness, Contingency Planning and Crisis response’, by contributing to the costs of accommodation as well as service provision to applicants for international protection in case of the activation of the contingency plan;</w:t>
                  </w:r>
                </w:p>
                <w:p w:rsidR="00A77B3E">
                  <w:pPr>
                    <w:spacing w:before="100" w:after="0"/>
                    <w:jc w:val="left"/>
                    <w:rPr>
                      <w:rFonts w:ascii="TimesNewRoman" w:eastAsia="TimesNewRoman" w:hAnsi="TimesNewRoman" w:cs="TimesNewRoman"/>
                      <w:b w:val="0"/>
                      <w:i w:val="0"/>
                      <w:vanish w:val="0"/>
                      <w:color w:val="000000"/>
                      <w:sz w:val="16"/>
                      <w:vertAlign w:val="baseline"/>
                    </w:rPr>
                  </w:pP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tab/>
                    <w:t>Building Block 9 ‘New safeguards for applicants for international protection and vulnerable persons, and increased monitoring of fundamental rights’ by contributing to the costs of:</w:t>
                  </w: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o</w:t>
                    <w:tab/>
                    <w:t>the establishment and operation of an independent monitoring mechanism;</w:t>
                  </w: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o</w:t>
                    <w:tab/>
                    <w:t>further vulnerability assessments during the reception and asylum procedures;</w:t>
                  </w: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o</w:t>
                    <w:tab/>
                    <w:t>the establishment of a multidisciplinary age assessment procedure;</w:t>
                  </w:r>
                </w:p>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o</w:t>
                    <w:tab/>
                    <w:t xml:space="preserve">support to unaccompanied minors in reception and international protection procedures, including the appointment of a representative.   </w:t>
                  </w:r>
                </w:p>
                <w:p w:rsidR="00A77B3E">
                  <w:pPr>
                    <w:spacing w:before="100" w:after="0"/>
                    <w:jc w:val="left"/>
                    <w:rPr>
                      <w:rFonts w:ascii="TimesNewRoman" w:eastAsia="TimesNewRoman" w:hAnsi="TimesNewRoman" w:cs="TimesNewRoman"/>
                      <w:b w:val="0"/>
                      <w:i w:val="0"/>
                      <w:vanish w:val="0"/>
                      <w:color w:val="000000"/>
                      <w:sz w:val="16"/>
                      <w:vertAlign w:val="baseline"/>
                    </w:rPr>
                  </w:pPr>
                </w:p>
              </w:tc>
            </w:tr>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TA.36(5). Tehnična pomoč – pavšalna stopnja(člen 36(5) uredbe o skupnih določbah)</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1.291.093,30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Technical assistance for the Specific action AMIF/2025/SA/Pact "Supporting the Implementation of the Pact on Migration and Asylum and the management of Temporary Protection"</w:t>
                  </w:r>
                </w:p>
              </w:tc>
            </w:tr>
          </w:tbl>
          <w:p w:rsidR="00A77B3E">
            <w:pPr>
              <w:spacing w:before="100" w:after="0"/>
              <w:jc w:val="left"/>
              <w:rPr>
                <w:rFonts w:ascii="TimesNewRoman" w:eastAsia="TimesNewRoman" w:hAnsi="TimesNewRoman" w:cs="TimesNewRoman"/>
                <w:b w:val="0"/>
                <w:i w:val="0"/>
                <w:vanish w:val="0"/>
                <w:color w:val="000000"/>
                <w:sz w:val="16"/>
                <w:vertAlign w:val="baseline"/>
              </w:rPr>
            </w:pPr>
          </w:p>
        </w:tc>
      </w:tr>
    </w:tbl>
    <w:p w:rsidR="00A77B3E">
      <w:pPr>
        <w:spacing w:before="100" w:after="0"/>
        <w:jc w:val="left"/>
        <w:rPr>
          <w:rFonts w:ascii="TimesNewRoman" w:eastAsia="TimesNewRoman" w:hAnsi="TimesNewRoman" w:cs="TimesNewRoman"/>
          <w:b w:val="0"/>
          <w:i w:val="0"/>
          <w:vanish w:val="0"/>
          <w:color w:val="000000"/>
          <w:sz w:val="16"/>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833"/>
        <w:gridCol w:w="3019"/>
        <w:gridCol w:w="1687"/>
        <w:gridCol w:w="4029"/>
        <w:gridCol w:w="1734"/>
      </w:tblGrid>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Sklic na postopek</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Različica programa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Status</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Datum sprejema/zavrnitve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Opombe</w:t>
            </w:r>
          </w:p>
        </w:tc>
      </w:tr>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C(2022)8340 - 23. nov. 2022 - 2</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2.0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Sprejeto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9. feb. 2024</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p>
        </w:tc>
      </w:tr>
      <w:tr>
        <w:tblPrEx>
          <w:tblW w:w="5000" w:type="pct"/>
        </w:tblPrEx>
        <w:trPr>
          <w:cantSplit w:val="0"/>
          <w:trHeight w:hRule="auto" w:val="0"/>
        </w:trPr>
        <w:tc>
          <w:tcPr>
            <w:gridSpan w:val="5"/>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0"/>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209"/>
              <w:gridCol w:w="2295"/>
              <w:gridCol w:w="1228"/>
              <w:gridCol w:w="1113"/>
              <w:gridCol w:w="2164"/>
              <w:gridCol w:w="3163"/>
            </w:tblGrid>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Specifični cilj</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Način</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Vrsta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Prispevek Unije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Stopnja predhodnega financiranja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Opis ukrepa</w:t>
                  </w:r>
                </w:p>
              </w:tc>
            </w:tr>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4. Solidarnost</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Mednarodna zaščita (Premestitev v)</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50.000,00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AMIF TF – Relocation (Art. 20 AMIF Regulation)</w:t>
                  </w:r>
                </w:p>
              </w:tc>
            </w:tr>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TA.36(5). Tehnična pomoč – pavšalna stopnja(člen 36(5) uredbe o skupnih določbah)</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3.000,00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TA</w:t>
                  </w:r>
                </w:p>
              </w:tc>
            </w:tr>
          </w:tbl>
          <w:p w:rsidR="00A77B3E">
            <w:pPr>
              <w:spacing w:before="100" w:after="0"/>
              <w:jc w:val="left"/>
              <w:rPr>
                <w:rFonts w:ascii="TimesNewRoman" w:eastAsia="TimesNewRoman" w:hAnsi="TimesNewRoman" w:cs="TimesNewRoman"/>
                <w:b w:val="0"/>
                <w:i w:val="0"/>
                <w:vanish w:val="0"/>
                <w:color w:val="000000"/>
                <w:sz w:val="16"/>
                <w:vertAlign w:val="baseline"/>
              </w:rPr>
            </w:pPr>
          </w:p>
        </w:tc>
      </w:tr>
    </w:tbl>
    <w:p w:rsidR="00A77B3E">
      <w:pPr>
        <w:spacing w:before="100" w:after="0"/>
        <w:jc w:val="left"/>
        <w:rPr>
          <w:rFonts w:ascii="TimesNewRoman" w:eastAsia="TimesNewRoman" w:hAnsi="TimesNewRoman" w:cs="TimesNewRoman"/>
          <w:b w:val="0"/>
          <w:i w:val="0"/>
          <w:vanish w:val="0"/>
          <w:color w:val="000000"/>
          <w:sz w:val="16"/>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757"/>
        <w:gridCol w:w="2988"/>
        <w:gridCol w:w="1736"/>
        <w:gridCol w:w="4038"/>
        <w:gridCol w:w="1783"/>
      </w:tblGrid>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Sklic na postopek</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Različica programa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Status</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Datum sprejema/zavrnitve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Opombe</w:t>
            </w:r>
          </w:p>
        </w:tc>
      </w:tr>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C(2022)8340 - 23. nov. 2022 - 1</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1.2</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Sprejeto</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17. maj 2023</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p>
        </w:tc>
      </w:tr>
      <w:tr>
        <w:tblPrEx>
          <w:tblW w:w="5000" w:type="pct"/>
        </w:tblPrEx>
        <w:trPr>
          <w:cantSplit w:val="0"/>
          <w:trHeight w:hRule="auto" w:val="0"/>
        </w:trPr>
        <w:tc>
          <w:tcPr>
            <w:gridSpan w:val="5"/>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0"/>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586"/>
              <w:gridCol w:w="1972"/>
              <w:gridCol w:w="1177"/>
              <w:gridCol w:w="1080"/>
              <w:gridCol w:w="1988"/>
              <w:gridCol w:w="4369"/>
            </w:tblGrid>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Specifični cilj</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Način</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Vrsta intervencije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Prispevek Unije</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Stopnja predhodnega financiranja</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pPr>
                    <w:spacing w:before="100" w:after="0"/>
                    <w:jc w:val="center"/>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Opis ukrepa</w:t>
                  </w:r>
                </w:p>
              </w:tc>
            </w:tr>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4. Solidarnost</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Preselitev in humanitarni sprejem</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250.000,00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AMIF TF - Resettlement &amp; Humanitarian Admission (Art. 19 AMIF Regulation)</w:t>
                  </w:r>
                </w:p>
              </w:tc>
            </w:tr>
            <w:tr>
              <w:tblPrEx>
                <w:tblW w:w="5000" w:type="pct"/>
              </w:tblPrEx>
              <w:trPr>
                <w:cantSplit w:val="0"/>
                <w:trHeight w:hRule="auto" w:val="0"/>
              </w:trPr>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TA.36(5). Tehnična pomoč – pavšalna stopnja(člen 36(5) uredbe o skupnih določbah)</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 xml:space="preserve"> </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15.000,00</w:t>
                  </w: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right"/>
                    <w:rPr>
                      <w:rFonts w:ascii="TimesNewRoman" w:eastAsia="TimesNewRoman" w:hAnsi="TimesNewRoman" w:cs="TimesNewRoman"/>
                      <w:b w:val="0"/>
                      <w:i w:val="0"/>
                      <w:vanish w:val="0"/>
                      <w:color w:val="000000"/>
                      <w:sz w:val="16"/>
                      <w:vertAlign w:val="baseline"/>
                    </w:rPr>
                  </w:pPr>
                </w:p>
              </w:tc>
              <w:tc>
                <w:tcPr>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top"/>
                </w:tcPr>
                <w:p w:rsidR="00A77B3E">
                  <w:pPr>
                    <w:spacing w:before="100" w:after="0"/>
                    <w:jc w:val="left"/>
                    <w:rPr>
                      <w:rFonts w:ascii="TimesNewRoman" w:eastAsia="TimesNewRoman" w:hAnsi="TimesNewRoman" w:cs="TimesNewRoman"/>
                      <w:b w:val="0"/>
                      <w:i w:val="0"/>
                      <w:vanish w:val="0"/>
                      <w:color w:val="000000"/>
                      <w:sz w:val="16"/>
                      <w:vertAlign w:val="baseline"/>
                    </w:rPr>
                  </w:pPr>
                  <w:r>
                    <w:rPr>
                      <w:rFonts w:ascii="TimesNewRoman" w:eastAsia="TimesNewRoman" w:hAnsi="TimesNewRoman" w:cs="TimesNewRoman"/>
                      <w:b w:val="0"/>
                      <w:i w:val="0"/>
                      <w:vanish w:val="0"/>
                      <w:color w:val="000000"/>
                      <w:sz w:val="16"/>
                      <w:vertAlign w:val="baseline"/>
                    </w:rPr>
                    <w:t>TA</w:t>
                  </w:r>
                </w:p>
              </w:tc>
            </w:tr>
          </w:tbl>
          <w:p w:rsidR="00A77B3E">
            <w:pPr>
              <w:spacing w:before="100" w:after="0"/>
              <w:jc w:val="left"/>
              <w:rPr>
                <w:rFonts w:ascii="TimesNewRoman" w:eastAsia="TimesNewRoman" w:hAnsi="TimesNewRoman" w:cs="TimesNewRoman"/>
                <w:b w:val="0"/>
                <w:i w:val="0"/>
                <w:vanish w:val="0"/>
                <w:color w:val="000000"/>
                <w:sz w:val="16"/>
                <w:vertAlign w:val="baseline"/>
              </w:rPr>
            </w:pPr>
          </w:p>
        </w:tc>
      </w:tr>
    </w:tbl>
    <w:p w:rsidR="00A77B3E">
      <w:pPr>
        <w:spacing w:before="100" w:after="0"/>
        <w:jc w:val="left"/>
        <w:rPr>
          <w:rFonts w:ascii="TimesNewRoman" w:eastAsia="TimesNewRoman" w:hAnsi="TimesNewRoman" w:cs="TimesNewRoman"/>
          <w:b w:val="0"/>
          <w:i w:val="0"/>
          <w:vanish w:val="0"/>
          <w:color w:val="000000"/>
          <w:sz w:val="16"/>
          <w:vertAlign w:val="baseline"/>
        </w:rPr>
      </w:pPr>
    </w:p>
    <w:p w:rsidR="00A77B3E">
      <w:pPr>
        <w:spacing w:before="100" w:after="0"/>
        <w:jc w:val="left"/>
        <w:rPr>
          <w:rFonts w:ascii="TimesNewRoman" w:eastAsia="TimesNewRoman" w:hAnsi="TimesNewRoman" w:cs="TimesNewRoman"/>
          <w:b w:val="0"/>
          <w:i w:val="0"/>
          <w:vanish w:val="0"/>
          <w:color w:val="000000"/>
          <w:sz w:val="16"/>
          <w:vertAlign w:val="baseline"/>
        </w:rPr>
        <w:sectPr>
          <w:headerReference w:type="even" r:id="rId112"/>
          <w:headerReference w:type="default" r:id="rId113"/>
          <w:footerReference w:type="even" r:id="rId114"/>
          <w:footerReference w:type="default" r:id="rId115"/>
          <w:headerReference w:type="first" r:id="rId116"/>
          <w:footerReference w:type="first" r:id="rId117"/>
          <w:type w:val="nextPage"/>
          <w:pgSz w:w="16838" w:h="11906" w:orient="landscape"/>
          <w:pgMar w:top="720" w:right="720" w:bottom="864" w:left="936" w:header="288" w:footer="72" w:gutter="0"/>
          <w:cols w:space="708"/>
          <w:noEndnote/>
          <w:docGrid w:linePitch="360"/>
        </w:sectPr>
      </w:pPr>
    </w:p>
    <w:p w:rsidR="00A77B3E">
      <w:pPr>
        <w:pStyle w:val="Heading1"/>
        <w:spacing w:before="100" w:after="0"/>
        <w:jc w:val="left"/>
        <w:rPr>
          <w:rFonts w:ascii="TimesNewRoman" w:eastAsia="TimesNewRoman" w:hAnsi="TimesNewRoman" w:cs="TimesNewRoman"/>
          <w:b w:val="0"/>
          <w:i w:val="0"/>
          <w:vanish w:val="0"/>
          <w:color w:val="000000"/>
          <w:sz w:val="24"/>
          <w:vertAlign w:val="baseline"/>
        </w:rPr>
      </w:pPr>
      <w:bookmarkStart w:id="62" w:name="_Toc256000125"/>
      <w:r>
        <w:rPr>
          <w:rFonts w:ascii="TimesNewRoman" w:eastAsia="TimesNewRoman" w:hAnsi="TimesNewRoman" w:cs="TimesNewRoman"/>
          <w:b w:val="0"/>
          <w:i w:val="0"/>
          <w:vanish w:val="0"/>
          <w:color w:val="000000"/>
          <w:sz w:val="24"/>
          <w:vertAlign w:val="baseline"/>
        </w:rPr>
        <w:t>DOKUMENTI</w:t>
      </w:r>
      <w:bookmarkEnd w:id="62"/>
    </w:p>
    <w:p w:rsidR="00A77B3E">
      <w:pPr>
        <w:spacing w:before="100" w:after="0"/>
        <w:jc w:val="left"/>
        <w:rPr>
          <w:rFonts w:ascii="TimesNewRoman" w:eastAsia="TimesNewRoman" w:hAnsi="TimesNewRoman" w:cs="TimesNewRoman"/>
          <w:b w:val="0"/>
          <w:i w:val="0"/>
          <w:vanish w:val="0"/>
          <w:color w:val="000000"/>
          <w:sz w:val="12"/>
          <w:vertAlign w:val="baseli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767"/>
        <w:gridCol w:w="1767"/>
        <w:gridCol w:w="1105"/>
        <w:gridCol w:w="1767"/>
        <w:gridCol w:w="1767"/>
        <w:gridCol w:w="4257"/>
        <w:gridCol w:w="1105"/>
        <w:gridCol w:w="1767"/>
      </w:tblGrid>
      <w:tr>
        <w:tblPrEx>
          <w:tblW w:w="5000" w:type="pct"/>
        </w:tblPrEx>
        <w:trPr>
          <w:cantSplit w:val="0"/>
          <w:trHeight w:val="240"/>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Naslov dokumenta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Vrsta dokumenta</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Datum dokumenta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Lokalna referenca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Referenčna oznaka Komisije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Datoteke</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Datum pošiljanja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center"/>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Poslal</w:t>
            </w:r>
          </w:p>
        </w:tc>
      </w:tr>
      <w:tr>
        <w:tblPrEx>
          <w:tblW w:w="5000" w:type="pct"/>
        </w:tblPrEx>
        <w:trPr>
          <w:cantSplit w:val="0"/>
          <w:trHeight w:val="240"/>
          <w:tblHeader w:val="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Programme snapshot 2021SI65AMPR001 5.0</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Posnetek podatkov pred pošiljanjem</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21. maj 2026</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16"/>
                <w:vertAlign w:val="baseline"/>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Ares(2026)5160939</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Programme_snapshot_2021SI65AMPR001_5.0_sl.pdf</w:t>
            </w:r>
            <w:r>
              <w:rPr>
                <w:rFonts w:ascii="Times New Roman" w:eastAsia="Times New Roman" w:hAnsi="Times New Roman" w:cs="Times New Roman"/>
                <w:b w:val="0"/>
                <w:i w:val="0"/>
                <w:vanish w:val="0"/>
                <w:color w:val="000000"/>
                <w:sz w:val="16"/>
                <w:vertAlign w:val="baseline"/>
              </w:rPr>
              <w:br/>
            </w:r>
            <w:r>
              <w:rPr>
                <w:rFonts w:ascii="Times New Roman" w:eastAsia="Times New Roman" w:hAnsi="Times New Roman" w:cs="Times New Roman"/>
                <w:b w:val="0"/>
                <w:i w:val="0"/>
                <w:vanish w:val="0"/>
                <w:color w:val="000000"/>
                <w:sz w:val="16"/>
                <w:vertAlign w:val="baseline"/>
              </w:rPr>
              <w:t>Programme_snapshot_2021SI65AMPR001_5.0_sl_en.pdf</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21. maj 2026</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vAlign w:val="top"/>
          </w:tcPr>
          <w:p w:rsidR="00A77B3E">
            <w:pPr>
              <w:spacing w:before="100" w:after="0"/>
              <w:jc w:val="left"/>
              <w:rPr>
                <w:rFonts w:ascii="Times New Roman" w:eastAsia="Times New Roman" w:hAnsi="Times New Roman" w:cs="Times New Roman"/>
                <w:b w:val="0"/>
                <w:i w:val="0"/>
                <w:vanish w:val="0"/>
                <w:color w:val="000000"/>
                <w:sz w:val="16"/>
                <w:vertAlign w:val="baseline"/>
              </w:rPr>
            </w:pPr>
            <w:r>
              <w:rPr>
                <w:rFonts w:ascii="Times New Roman" w:eastAsia="Times New Roman" w:hAnsi="Times New Roman" w:cs="Times New Roman"/>
                <w:b w:val="0"/>
                <w:i w:val="0"/>
                <w:vanish w:val="0"/>
                <w:color w:val="000000"/>
                <w:sz w:val="16"/>
                <w:vertAlign w:val="baseline"/>
              </w:rPr>
              <w:t>KERN, Erik</w:t>
            </w:r>
          </w:p>
        </w:tc>
      </w:tr>
    </w:tbl>
    <w:p w:rsidR="00A77B3E">
      <w:pPr>
        <w:spacing w:before="100" w:after="0"/>
        <w:jc w:val="center"/>
        <w:rPr>
          <w:rFonts w:ascii="Times New Roman" w:eastAsia="Times New Roman" w:hAnsi="Times New Roman" w:cs="Times New Roman"/>
          <w:b w:val="0"/>
          <w:i w:val="0"/>
          <w:vanish w:val="0"/>
          <w:color w:val="000000"/>
          <w:sz w:val="16"/>
          <w:vertAlign w:val="baseline"/>
        </w:rPr>
      </w:pPr>
    </w:p>
    <w:sectPr>
      <w:headerReference w:type="even" r:id="rId118"/>
      <w:headerReference w:type="default" r:id="rId119"/>
      <w:footerReference w:type="even" r:id="rId120"/>
      <w:footerReference w:type="default" r:id="rId121"/>
      <w:headerReference w:type="first" r:id="rId122"/>
      <w:footerReference w:type="first" r:id="rId123"/>
      <w:type w:val="nextPage"/>
      <w:pgSz w:w="16838" w:h="11906" w:orient="landscape"/>
      <w:pgMar w:top="720" w:right="720" w:bottom="864" w:left="936" w:header="288" w:footer="72"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5661"/>
      <w:gridCol w:w="3980"/>
      <w:gridCol w:w="5661"/>
    </w:tblGrid>
    <w:tr>
      <w:tblPrEx>
        <w:tblW w:w="5000" w:type="pct"/>
      </w:tblPrEx>
      <w:trPr>
        <w:cantSplit w:val="0"/>
        <w:trHeight w:val="160"/>
        <w:tblHeader w:val="0"/>
      </w:trPr>
      <w:tc>
        <w:tcPr>
          <w:tcMar>
            <w:top w:w="0" w:type="dxa"/>
            <w:left w:w="60" w:type="dxa"/>
            <w:bottom w:w="80" w:type="dxa"/>
            <w:right w:w="6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21</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3837"/>
      <w:gridCol w:w="2697"/>
      <w:gridCol w:w="3836"/>
    </w:tblGrid>
    <w:tr>
      <w:tblPrEx>
        <w:tblW w:w="5000" w:type="pct"/>
      </w:tblPrEx>
      <w:trPr>
        <w:cantSplit w:val="0"/>
        <w:trHeight w:hRule="auto" w:val="0"/>
        <w:tblHeader w:val="0"/>
      </w:trPr>
      <w:tc>
        <w:tcPr>
          <w:tcMar>
            <w:top w:w="0" w:type="dxa"/>
            <w:left w:w="60" w:type="dxa"/>
            <w:bottom w:w="80" w:type="dxa"/>
            <w:right w:w="6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26</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5661"/>
      <w:gridCol w:w="3980"/>
      <w:gridCol w:w="5661"/>
    </w:tblGrid>
    <w:tr>
      <w:tblPrEx>
        <w:tblW w:w="5000" w:type="pct"/>
      </w:tblPrEx>
      <w:trPr>
        <w:cantSplit w:val="0"/>
        <w:trHeight w:hRule="auto" w:val="0"/>
        <w:tblHeader w:val="0"/>
      </w:trPr>
      <w:tc>
        <w:tcPr>
          <w:tcMar>
            <w:top w:w="0" w:type="dxa"/>
            <w:left w:w="60" w:type="dxa"/>
            <w:bottom w:w="80" w:type="dxa"/>
            <w:right w:w="6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29</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3810"/>
      <w:gridCol w:w="2831"/>
      <w:gridCol w:w="3809"/>
    </w:tblGrid>
    <w:tr>
      <w:tblPrEx>
        <w:tblW w:w="5000" w:type="pct"/>
      </w:tblPrEx>
      <w:trPr>
        <w:trHeight w:val="240"/>
      </w:trPr>
      <w:tc>
        <w:tcPr>
          <w:tcMar>
            <w:left w:w="100" w:type="dxa"/>
            <w:right w:w="10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left w:w="100" w:type="dxa"/>
            <w:right w:w="10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10</w:t>
          </w:r>
          <w:r>
            <w:rPr>
              <w:rFonts w:ascii="Times New Roman" w:eastAsia="Times New Roman" w:hAnsi="Times New Roman" w:cs="Times New Roman"/>
              <w:b/>
              <w:vanish w:val="0"/>
              <w:color w:val="000000"/>
              <w:sz w:val="24"/>
            </w:rPr>
            <w:fldChar w:fldCharType="end"/>
          </w:r>
        </w:p>
      </w:tc>
      <w:tc>
        <w:tcPr>
          <w:tcMar>
            <w:left w:w="100" w:type="dxa"/>
            <w:right w:w="10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3837"/>
      <w:gridCol w:w="2697"/>
      <w:gridCol w:w="3836"/>
    </w:tblGrid>
    <w:tr>
      <w:tblPrEx>
        <w:tblW w:w="5000" w:type="pct"/>
      </w:tblPrEx>
      <w:trPr>
        <w:cantSplit w:val="0"/>
        <w:trHeight w:hRule="auto" w:val="0"/>
        <w:tblHeader w:val="0"/>
      </w:trPr>
      <w:tc>
        <w:tcPr>
          <w:tcMar>
            <w:top w:w="0" w:type="dxa"/>
            <w:left w:w="60" w:type="dxa"/>
            <w:bottom w:w="80" w:type="dxa"/>
            <w:right w:w="6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32</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5661"/>
      <w:gridCol w:w="3980"/>
      <w:gridCol w:w="5661"/>
    </w:tblGrid>
    <w:tr>
      <w:tblPrEx>
        <w:tblW w:w="5000" w:type="pct"/>
      </w:tblPrEx>
      <w:trPr>
        <w:cantSplit w:val="0"/>
        <w:trHeight w:hRule="auto" w:val="0"/>
        <w:tblHeader w:val="0"/>
      </w:trPr>
      <w:tc>
        <w:tcPr>
          <w:tcMar>
            <w:top w:w="0" w:type="dxa"/>
            <w:left w:w="60" w:type="dxa"/>
            <w:bottom w:w="80" w:type="dxa"/>
            <w:right w:w="6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35</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3837"/>
      <w:gridCol w:w="2697"/>
      <w:gridCol w:w="3836"/>
    </w:tblGrid>
    <w:tr>
      <w:tblPrEx>
        <w:tblW w:w="5000" w:type="pct"/>
      </w:tblPrEx>
      <w:trPr>
        <w:cantSplit w:val="0"/>
        <w:trHeight w:hRule="auto" w:val="0"/>
        <w:tblHeader w:val="0"/>
      </w:trPr>
      <w:tc>
        <w:tcPr>
          <w:tcMar>
            <w:top w:w="0" w:type="dxa"/>
            <w:left w:w="60" w:type="dxa"/>
            <w:bottom w:w="80" w:type="dxa"/>
            <w:right w:w="6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36</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5661"/>
      <w:gridCol w:w="3980"/>
      <w:gridCol w:w="5661"/>
    </w:tblGrid>
    <w:tr>
      <w:tblPrEx>
        <w:tblW w:w="5000" w:type="pct"/>
      </w:tblPrEx>
      <w:trPr>
        <w:cantSplit w:val="0"/>
        <w:trHeight w:hRule="auto" w:val="0"/>
        <w:tblHeader w:val="0"/>
      </w:trPr>
      <w:tc>
        <w:tcPr>
          <w:tcMar>
            <w:top w:w="0" w:type="dxa"/>
            <w:left w:w="60" w:type="dxa"/>
            <w:bottom w:w="80" w:type="dxa"/>
            <w:right w:w="6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39</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3837"/>
      <w:gridCol w:w="2697"/>
      <w:gridCol w:w="3836"/>
    </w:tblGrid>
    <w:tr>
      <w:tblPrEx>
        <w:tblW w:w="5000" w:type="pct"/>
      </w:tblPrEx>
      <w:trPr>
        <w:cantSplit w:val="0"/>
        <w:trHeight w:hRule="auto" w:val="0"/>
        <w:tblHeader w:val="0"/>
      </w:trPr>
      <w:tc>
        <w:tcPr>
          <w:tcMar>
            <w:top w:w="0" w:type="dxa"/>
            <w:left w:w="60" w:type="dxa"/>
            <w:bottom w:w="80" w:type="dxa"/>
            <w:right w:w="6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41</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5661"/>
      <w:gridCol w:w="3980"/>
      <w:gridCol w:w="5661"/>
    </w:tblGrid>
    <w:tr>
      <w:tblPrEx>
        <w:tblW w:w="5000" w:type="pct"/>
      </w:tblPrEx>
      <w:trPr>
        <w:cantSplit w:val="0"/>
        <w:trHeight w:hRule="auto" w:val="0"/>
        <w:tblHeader w:val="0"/>
      </w:trPr>
      <w:tc>
        <w:tcPr>
          <w:tcMar>
            <w:top w:w="0" w:type="dxa"/>
            <w:left w:w="60" w:type="dxa"/>
            <w:bottom w:w="80" w:type="dxa"/>
            <w:right w:w="6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46</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5661"/>
      <w:gridCol w:w="3980"/>
      <w:gridCol w:w="5661"/>
    </w:tblGrid>
    <w:tr>
      <w:tblPrEx>
        <w:tblW w:w="5000" w:type="pct"/>
      </w:tblPrEx>
      <w:trPr>
        <w:cantSplit w:val="0"/>
        <w:trHeight w:hRule="auto" w:val="0"/>
        <w:tblHeader w:val="0"/>
      </w:trPr>
      <w:tc>
        <w:tcPr>
          <w:tcMar>
            <w:top w:w="0" w:type="dxa"/>
            <w:left w:w="60" w:type="dxa"/>
            <w:bottom w:w="80" w:type="dxa"/>
            <w:right w:w="60" w:type="dxa"/>
          </w:tcMar>
          <w:vAlign w:val="center"/>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center"/>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54</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center"/>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3837"/>
      <w:gridCol w:w="2697"/>
      <w:gridCol w:w="3836"/>
    </w:tblGrid>
    <w:tr>
      <w:tblPrEx>
        <w:tblW w:w="5000" w:type="pct"/>
      </w:tblPrEx>
      <w:trPr>
        <w:cantSplit w:val="0"/>
        <w:trHeight w:hRule="auto" w:val="0"/>
        <w:tblHeader w:val="0"/>
      </w:trPr>
      <w:tc>
        <w:tcPr>
          <w:tcMar>
            <w:top w:w="0" w:type="dxa"/>
            <w:left w:w="60" w:type="dxa"/>
            <w:bottom w:w="80" w:type="dxa"/>
            <w:right w:w="6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60</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5661"/>
      <w:gridCol w:w="3980"/>
      <w:gridCol w:w="5661"/>
    </w:tblGrid>
    <w:tr>
      <w:tblPrEx>
        <w:tblW w:w="5000" w:type="pct"/>
      </w:tblPrEx>
      <w:trPr>
        <w:cantSplit w:val="0"/>
        <w:trHeight w:hRule="auto" w:val="0"/>
      </w:trPr>
      <w:tc>
        <w:tcPr>
          <w:tcMar>
            <w:top w:w="0" w:type="dxa"/>
            <w:left w:w="60" w:type="dxa"/>
            <w:bottom w:w="80" w:type="dxa"/>
            <w:right w:w="6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62</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3837"/>
      <w:gridCol w:w="2697"/>
      <w:gridCol w:w="3836"/>
    </w:tblGrid>
    <w:tr>
      <w:tblPrEx>
        <w:tblW w:w="5000" w:type="pct"/>
      </w:tblPrEx>
      <w:trPr>
        <w:cantSplit w:val="0"/>
        <w:trHeight w:hRule="auto" w:val="0"/>
        <w:tblHeader w:val="0"/>
      </w:trPr>
      <w:tc>
        <w:tcPr>
          <w:tcMar>
            <w:top w:w="0" w:type="dxa"/>
            <w:left w:w="60" w:type="dxa"/>
            <w:bottom w:w="80" w:type="dxa"/>
            <w:right w:w="60" w:type="dxa"/>
          </w:tcMar>
          <w:vAlign w:val="center"/>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center"/>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67</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center"/>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3810"/>
      <w:gridCol w:w="2831"/>
      <w:gridCol w:w="3809"/>
    </w:tblGrid>
    <w:tr>
      <w:tblPrEx>
        <w:tblW w:w="5000" w:type="pct"/>
      </w:tblPrEx>
      <w:trPr>
        <w:trHeight w:val="240"/>
        <w:tblHeader w:val="0"/>
      </w:trPr>
      <w:tc>
        <w:tcPr>
          <w:tcMar>
            <w:left w:w="100" w:type="dxa"/>
            <w:right w:w="10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left w:w="100" w:type="dxa"/>
            <w:right w:w="10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12</w:t>
          </w:r>
          <w:r>
            <w:rPr>
              <w:rFonts w:ascii="Times New Roman" w:eastAsia="Times New Roman" w:hAnsi="Times New Roman" w:cs="Times New Roman"/>
              <w:b/>
              <w:vanish w:val="0"/>
              <w:color w:val="000000"/>
              <w:sz w:val="24"/>
            </w:rPr>
            <w:fldChar w:fldCharType="end"/>
          </w:r>
        </w:p>
      </w:tc>
      <w:tc>
        <w:tcPr>
          <w:tcMar>
            <w:left w:w="100" w:type="dxa"/>
            <w:right w:w="10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5588"/>
      <w:gridCol w:w="4245"/>
      <w:gridCol w:w="5589"/>
    </w:tblGrid>
    <w:tr>
      <w:tblPrEx>
        <w:tblW w:w="5000" w:type="pct"/>
      </w:tblPrEx>
      <w:trPr>
        <w:cantSplit w:val="0"/>
        <w:trHeight w:hRule="auto" w:val="0"/>
      </w:trPr>
      <w:tc>
        <w:tcPr>
          <w:tcMar>
            <w:top w:w="20" w:type="dxa"/>
            <w:left w:w="120" w:type="dxa"/>
            <w:bottom w:w="120" w:type="dxa"/>
            <w:right w:w="120" w:type="dxa"/>
          </w:tcMar>
          <w:vAlign w:val="bottom"/>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20" w:type="dxa"/>
            <w:left w:w="120" w:type="dxa"/>
            <w:bottom w:w="120" w:type="dxa"/>
            <w:right w:w="120" w:type="dxa"/>
          </w:tcMar>
          <w:vAlign w:val="bottom"/>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68</w:t>
          </w:r>
          <w:r>
            <w:rPr>
              <w:rFonts w:ascii="Times New Roman" w:eastAsia="Times New Roman" w:hAnsi="Times New Roman" w:cs="Times New Roman"/>
              <w:b/>
              <w:vanish w:val="0"/>
              <w:color w:val="000000"/>
              <w:sz w:val="24"/>
            </w:rPr>
            <w:fldChar w:fldCharType="end"/>
          </w:r>
        </w:p>
      </w:tc>
      <w:tc>
        <w:tcPr>
          <w:tcMar>
            <w:top w:w="20" w:type="dxa"/>
            <w:left w:w="120" w:type="dxa"/>
            <w:bottom w:w="120" w:type="dxa"/>
            <w:right w:w="120" w:type="dxa"/>
          </w:tcMar>
          <w:vAlign w:val="bottom"/>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3837"/>
      <w:gridCol w:w="2697"/>
      <w:gridCol w:w="3836"/>
    </w:tblGrid>
    <w:tr>
      <w:tblPrEx>
        <w:tblW w:w="5000" w:type="pct"/>
      </w:tblPrEx>
      <w:trPr>
        <w:cantSplit w:val="0"/>
        <w:trHeight w:hRule="auto" w:val="0"/>
        <w:tblHeader w:val="0"/>
      </w:trPr>
      <w:tc>
        <w:tcPr>
          <w:tcMar>
            <w:top w:w="0" w:type="dxa"/>
            <w:left w:w="60" w:type="dxa"/>
            <w:bottom w:w="80" w:type="dxa"/>
            <w:right w:w="60" w:type="dxa"/>
          </w:tcMar>
          <w:vAlign w:val="center"/>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center"/>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69</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center"/>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5661"/>
      <w:gridCol w:w="3980"/>
      <w:gridCol w:w="5661"/>
    </w:tblGrid>
    <w:tr>
      <w:tblPrEx>
        <w:tblW w:w="5000" w:type="pct"/>
      </w:tblPrEx>
      <w:trPr>
        <w:cantSplit w:val="0"/>
        <w:trHeight w:hRule="auto" w:val="0"/>
        <w:tblHeader w:val="0"/>
      </w:trPr>
      <w:tc>
        <w:tcPr>
          <w:tcMar>
            <w:top w:w="0" w:type="dxa"/>
            <w:left w:w="60" w:type="dxa"/>
            <w:bottom w:w="80" w:type="dxa"/>
            <w:right w:w="60" w:type="dxa"/>
          </w:tcMar>
          <w:vAlign w:val="center"/>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center"/>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72</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center"/>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5661"/>
      <w:gridCol w:w="3980"/>
      <w:gridCol w:w="5661"/>
    </w:tblGrid>
    <w:tr>
      <w:tblPrEx>
        <w:tblW w:w="5000" w:type="pct"/>
      </w:tblPrEx>
      <w:trPr>
        <w:cantSplit w:val="0"/>
        <w:trHeight w:hRule="auto" w:val="0"/>
      </w:trPr>
      <w:tc>
        <w:tcPr>
          <w:tcMar>
            <w:top w:w="0" w:type="dxa"/>
            <w:left w:w="60" w:type="dxa"/>
            <w:bottom w:w="80" w:type="dxa"/>
            <w:right w:w="6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73</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3837"/>
      <w:gridCol w:w="2697"/>
      <w:gridCol w:w="3836"/>
    </w:tblGrid>
    <w:tr>
      <w:tblPrEx>
        <w:tblW w:w="5000" w:type="pct"/>
      </w:tblPrEx>
      <w:trPr>
        <w:cantSplit w:val="0"/>
        <w:trHeight w:val="160"/>
        <w:tblHeader w:val="0"/>
      </w:trPr>
      <w:tc>
        <w:tcPr>
          <w:tcMar>
            <w:top w:w="0" w:type="dxa"/>
            <w:left w:w="60" w:type="dxa"/>
            <w:bottom w:w="80" w:type="dxa"/>
            <w:right w:w="60" w:type="dxa"/>
          </w:tcMar>
          <w:vAlign w:val="top"/>
        </w:tcPr>
        <w:p>
          <w:pPr>
            <w:jc w:val="left"/>
            <w:rPr>
              <w:rFonts w:ascii="Times New Roman" w:eastAsia="Times New Roman" w:hAnsi="Times New Roman" w:cs="Times New Roman"/>
              <w:b/>
              <w:vanish w:val="0"/>
              <w:color w:val="000000"/>
              <w:sz w:val="24"/>
            </w:rPr>
          </w:pPr>
          <w:r>
            <w:rPr>
              <w:rFonts w:ascii="Times New Roman" w:eastAsia="Times New Roman" w:hAnsi="Times New Roman" w:cs="Times New Roman"/>
              <w:b/>
              <w:vanish w:val="0"/>
              <w:color w:val="000000"/>
              <w:sz w:val="32"/>
            </w:rPr>
            <w:t>SL</w:t>
          </w:r>
        </w:p>
      </w:tc>
      <w:tc>
        <w:tcPr>
          <w:tcMar>
            <w:top w:w="0" w:type="dxa"/>
            <w:left w:w="60" w:type="dxa"/>
            <w:bottom w:w="80" w:type="dxa"/>
            <w:right w:w="60" w:type="dxa"/>
          </w:tcMar>
          <w:vAlign w:val="top"/>
        </w:tcPr>
        <w:p>
          <w:pPr>
            <w:jc w:val="center"/>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24"/>
            </w:rPr>
            <w:fldChar w:fldCharType="begin"/>
          </w:r>
          <w:r>
            <w:rPr>
              <w:rFonts w:ascii="Times New Roman" w:eastAsia="Times New Roman" w:hAnsi="Times New Roman" w:cs="Times New Roman"/>
              <w:b/>
              <w:vanish w:val="0"/>
              <w:color w:val="000000"/>
              <w:sz w:val="24"/>
            </w:rPr>
            <w:instrText>PAGE</w:instrText>
          </w:r>
          <w:r>
            <w:rPr>
              <w:rFonts w:ascii="Times New Roman" w:eastAsia="Times New Roman" w:hAnsi="Times New Roman" w:cs="Times New Roman"/>
              <w:b/>
              <w:vanish w:val="0"/>
              <w:color w:val="000000"/>
              <w:sz w:val="24"/>
            </w:rPr>
            <w:fldChar w:fldCharType="separate"/>
          </w:r>
          <w:r>
            <w:rPr>
              <w:rFonts w:ascii="Times New Roman" w:eastAsia="Times New Roman" w:hAnsi="Times New Roman" w:cs="Times New Roman"/>
              <w:b/>
              <w:noProof/>
              <w:vanish w:val="0"/>
              <w:color w:val="000000"/>
              <w:sz w:val="24"/>
              <w:szCs w:val="24"/>
              <w:lang w:val="en-US" w:eastAsia="en-US" w:bidi="ar-SA"/>
            </w:rPr>
            <w:t>18</w:t>
          </w:r>
          <w:r>
            <w:rPr>
              <w:rFonts w:ascii="Times New Roman" w:eastAsia="Times New Roman" w:hAnsi="Times New Roman" w:cs="Times New Roman"/>
              <w:b/>
              <w:vanish w:val="0"/>
              <w:color w:val="000000"/>
              <w:sz w:val="24"/>
            </w:rPr>
            <w:fldChar w:fldCharType="end"/>
          </w:r>
        </w:p>
      </w:tc>
      <w:tc>
        <w:tcPr>
          <w:tcMar>
            <w:top w:w="0" w:type="dxa"/>
            <w:left w:w="60" w:type="dxa"/>
            <w:bottom w:w="80" w:type="dxa"/>
            <w:right w:w="60" w:type="dxa"/>
          </w:tcMar>
          <w:vAlign w:val="top"/>
        </w:tcPr>
        <w:p>
          <w:pPr>
            <w:jc w:val="right"/>
            <w:rPr>
              <w:rFonts w:ascii="Times New Roman" w:eastAsia="Times New Roman" w:hAnsi="Times New Roman" w:cs="Times New Roman"/>
              <w:b/>
              <w:vanish w:val="0"/>
              <w:color w:val="000000"/>
              <w:sz w:val="32"/>
            </w:rPr>
          </w:pPr>
          <w:r>
            <w:rPr>
              <w:rFonts w:ascii="Times New Roman" w:eastAsia="Times New Roman" w:hAnsi="Times New Roman" w:cs="Times New Roman"/>
              <w:b/>
              <w:vanish w:val="0"/>
              <w:color w:val="000000"/>
              <w:sz w:val="32"/>
            </w:rPr>
            <w:t>SL</w:t>
          </w:r>
        </w:p>
      </w:tc>
    </w:tr>
  </w:tbl>
  <w:p>
    <w:pPr>
      <w:rPr>
        <w:rFonts w:ascii="Times New Roman" w:eastAsia="Times New Roman" w:hAnsi="Times New Roman" w:cs="Times New Roman"/>
        <w:b/>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hybridMultilevel"/>
    <w:tmpl w:val="0000000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hybridMultilevel"/>
    <w:tmpl w:val="000000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00000007"/>
    <w:multiLevelType w:val="hybridMultilevel"/>
    <w:tmpl w:val="000000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08"/>
    <w:multiLevelType w:val="hybridMultilevel"/>
    <w:tmpl w:val="000000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9"/>
    <w:multiLevelType w:val="hybridMultilevel"/>
    <w:tmpl w:val="000000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A"/>
    <w:multiLevelType w:val="hybridMultilevel"/>
    <w:tmpl w:val="000000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0B"/>
    <w:multiLevelType w:val="hybridMultilevel"/>
    <w:tmpl w:val="000000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C"/>
    <w:multiLevelType w:val="hybridMultilevel"/>
    <w:tmpl w:val="000000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0000000D"/>
    <w:multiLevelType w:val="hybridMultilevel"/>
    <w:tmpl w:val="000000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0000000E"/>
    <w:multiLevelType w:val="hybridMultilevel"/>
    <w:tmpl w:val="000000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0000000F"/>
    <w:multiLevelType w:val="hybridMultilevel"/>
    <w:tmpl w:val="000000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00000010"/>
    <w:multiLevelType w:val="hybridMultilevel"/>
    <w:tmpl w:val="000000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00000011"/>
    <w:multiLevelType w:val="hybridMultilevel"/>
    <w:tmpl w:val="000000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2"/>
    <w:multiLevelType w:val="hybridMultilevel"/>
    <w:tmpl w:val="000000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3"/>
    <w:multiLevelType w:val="hybridMultilevel"/>
    <w:tmpl w:val="000000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00000014"/>
    <w:multiLevelType w:val="hybridMultilevel"/>
    <w:tmpl w:val="000000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00000015"/>
    <w:multiLevelType w:val="hybridMultilevel"/>
    <w:tmpl w:val="000000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6"/>
    <w:multiLevelType w:val="hybridMultilevel"/>
    <w:tmpl w:val="000000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00000017"/>
    <w:multiLevelType w:val="hybridMultilevel"/>
    <w:tmpl w:val="000000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00000018"/>
    <w:multiLevelType w:val="hybridMultilevel"/>
    <w:tmpl w:val="000000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00000019"/>
    <w:multiLevelType w:val="hybridMultilevel"/>
    <w:tmpl w:val="000000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noProof/>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basedOn w:val="DefaultParagraphFont"/>
    <w:qFormat/>
    <w:rsid w:val="00EF7B96"/>
    <w:rPr>
      <w:b/>
      <w:bCs/>
    </w:rPr>
  </w:style>
  <w:style w:type="character" w:styleId="Emphasis">
    <w:name w:val="Emphasis"/>
    <w:basedOn w:val="DefaultParagraphFont"/>
    <w:qFormat/>
    <w:rsid w:val="00EF7B96"/>
    <w:rPr>
      <w:i/>
      <w:iCs/>
    </w:rPr>
  </w:style>
  <w:style w:type="paragraph" w:styleId="TOC1">
    <w:name w:val="toc 1"/>
    <w:basedOn w:val="Normal"/>
    <w:next w:val="Normal"/>
    <w:autoRedefine/>
    <w:rsid w:val="00805BCE"/>
    <w:rPr>
      <w:b w:val="0"/>
      <w:caps w:val="0"/>
    </w:rPr>
  </w:style>
  <w:style w:type="character" w:styleId="Hyperlink">
    <w:name w:val="Hyperlink"/>
    <w:basedOn w:val="DefaultParagraphFont"/>
    <w:rsid w:val="00EF7B96"/>
    <w:rPr>
      <w:color w:val="0000FF"/>
      <w:u w:val="single"/>
    </w:rPr>
  </w:style>
  <w:style w:type="paragraph" w:styleId="TOC2">
    <w:name w:val="toc 2"/>
    <w:basedOn w:val="Normal"/>
    <w:next w:val="Normal"/>
    <w:autoRedefine/>
    <w:rsid w:val="00805BCE"/>
    <w:pPr>
      <w:ind w:left="240"/>
    </w:pPr>
  </w:style>
  <w:style w:type="paragraph" w:styleId="TOC3">
    <w:name w:val="toc 3"/>
    <w:basedOn w:val="Normal"/>
    <w:next w:val="Normal"/>
    <w:autoRedefine/>
    <w:rsid w:val="00805BCE"/>
    <w:pPr>
      <w:ind w:left="480"/>
    </w:pPr>
    <w:rPr>
      <w:i w:val="0"/>
    </w:rPr>
  </w:style>
  <w:style w:type="paragraph" w:styleId="TOC4">
    <w:name w:val="toc 4"/>
    <w:basedOn w:val="Normal"/>
    <w:next w:val="Normal"/>
    <w:autoRedefine/>
    <w:rsid w:val="00805BCE"/>
    <w:pPr>
      <w:ind w:left="720"/>
    </w:pPr>
    <w:rPr>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theme" Target="theme/theme1.xml" /><Relationship Id="rId125" Type="http://schemas.openxmlformats.org/officeDocument/2006/relationships/numbering" Target="numbering.xml" /><Relationship Id="rId126" Type="http://schemas.openxmlformats.org/officeDocument/2006/relationships/styles" Target="styles.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73</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