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6.4.0 -->
  <w:body>
    <w:p w:rsidR="00A77B3E">
      <w:pPr>
        <w:jc w:val="left"/>
      </w:pPr>
    </w:p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  <w:t>Napoved plačila SFC2021</w:t>
      </w:r>
    </w:p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</w:pPr>
    </w:p>
    <w:p w:rsidR="00A77B3E">
      <w:pPr>
        <w:jc w:val="left"/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959"/>
        <w:gridCol w:w="7491"/>
      </w:tblGrid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CCI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2021SI65ISPR001</w:t>
            </w:r>
          </w:p>
        </w:tc>
      </w:tr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Naslov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Programme Slovenia - ISF</w:t>
            </w:r>
          </w:p>
        </w:tc>
      </w:tr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Različica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202602.0</w:t>
            </w:r>
          </w:p>
        </w:tc>
      </w:tr>
    </w:tbl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</w:pP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br w:type="page"/>
      </w:r>
      <w:r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  <w:t>Kazalo</w:t>
      </w:r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</w:pPr>
    </w:p>
    <w:p>
      <w:pPr>
        <w:pStyle w:val="TOC1"/>
        <w:tabs>
          <w:tab w:val="right" w:leader="dot" w:pos="10240"/>
        </w:tabs>
        <w:rPr>
          <w:rFonts w:ascii="Calibri" w:hAnsi="Calibri"/>
          <w:noProof/>
          <w:sz w:val="22"/>
        </w:rPr>
      </w:pP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begin"/>
      </w: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instrText>TOC \o "1-9" \z \u \h</w:instrText>
      </w: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separate"/>
      </w:r>
      <w:hyperlink w:anchor="_Toc256000001" w:history="1">
        <w:r w:rsidR="00A77B3E">
          <w:rPr>
            <w:rStyle w:val="Hyperlink"/>
            <w:rFonts w:ascii="Times New Roman" w:hAnsi="Times New Roman" w:cs="Times New Roman"/>
          </w:rPr>
          <w:t>Napoved zneska, za katerega namerava država članica predložiti zahtevke za plačila za tekoče in naslednje finančno leto (člen 69(10))</w:t>
        </w:r>
        <w:r>
          <w:tab/>
        </w:r>
        <w:r>
          <w:fldChar w:fldCharType="begin"/>
        </w:r>
        <w:r>
          <w:instrText xml:space="preserve"> PAGEREF _Toc256000001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12"/>
        </w:rPr>
      </w:pP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end"/>
      </w: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br w:type="page"/>
      </w:r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</w:pPr>
    </w:p>
    <w:p w:rsidR="00A77B3E">
      <w:pPr>
        <w:pStyle w:val="Heading1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</w:pPr>
      <w:bookmarkStart w:id="0" w:name="_Toc256000001"/>
      <w:r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  <w:t>Napoved zneska, za katerega namerava država članica predložiti zahtevke za plačila za tekoče in naslednje finančno leto (člen 69(10))</w:t>
      </w:r>
      <w:bookmarkEnd w:id="0"/>
    </w:p>
    <w:p w:rsidR="00A77B3E">
      <w:pPr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2560"/>
        <w:gridCol w:w="2560"/>
        <w:gridCol w:w="2560"/>
        <w:gridCol w:w="2560"/>
      </w:tblGrid>
      <w:tr>
        <w:tblPrEx>
          <w:tblW w:w="5000" w:type="pct"/>
          <w:tblLayout w:type="fixed"/>
        </w:tblPrEx>
        <w:trPr>
          <w:trHeight w:val="240"/>
        </w:trPr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</w:p>
        </w:tc>
        <w:tc>
          <w:tcPr>
            <w:tcW w:w="1250" w:type="pct"/>
            <w:gridSpan w:val="3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Pričakovan prispevek Unije</w:t>
            </w:r>
          </w:p>
        </w:tc>
      </w:tr>
      <w:tr>
        <w:tblPrEx>
          <w:tblW w:w="5000" w:type="pct"/>
          <w:tblLayout w:type="fixed"/>
        </w:tblPrEx>
        <w:trPr>
          <w:trHeight w:val="240"/>
        </w:trPr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</w:p>
        </w:tc>
        <w:tc>
          <w:tcPr>
            <w:tcW w:w="1250" w:type="pct"/>
            <w:gridSpan w:val="2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2026</w:t>
            </w:r>
          </w:p>
        </w:tc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2027</w:t>
            </w:r>
          </w:p>
        </w:tc>
      </w:tr>
      <w:tr>
        <w:tblPrEx>
          <w:tblW w:w="5000" w:type="pct"/>
          <w:tblLayout w:type="fixed"/>
        </w:tblPrEx>
        <w:trPr>
          <w:trHeight w:val="240"/>
        </w:trPr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Sklad</w:t>
            </w:r>
          </w:p>
        </w:tc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januar–oktober</w:t>
            </w:r>
          </w:p>
        </w:tc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november–december</w:t>
            </w:r>
          </w:p>
        </w:tc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januar–december</w:t>
            </w:r>
          </w:p>
        </w:tc>
      </w:tr>
      <w:tr>
        <w:tblPrEx>
          <w:tblW w:w="5000" w:type="pct"/>
          <w:tblLayout w:type="fixed"/>
        </w:tblPrEx>
        <w:trPr>
          <w:trHeight w:val="240"/>
        </w:trPr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SNV</w:t>
            </w:r>
          </w:p>
        </w:tc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4.000.000,00</w:t>
            </w:r>
          </w:p>
        </w:tc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2.000.000,00</w:t>
            </w:r>
          </w:p>
        </w:tc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7.000.000,00</w:t>
            </w:r>
          </w:p>
        </w:tc>
      </w:tr>
    </w:tbl>
    <w:p w:rsidR="00A77B3E">
      <w:pPr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</w:pP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720" w:right="936" w:bottom="864" w:left="720" w:header="0" w:footer="72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4114"/>
      <w:gridCol w:w="2223"/>
      <w:gridCol w:w="4113"/>
    </w:tblGrid>
    <w:tr>
      <w:tblPrEx>
        <w:tblW w:w="5000" w:type="pct"/>
      </w:tblPrEx>
      <w:trPr>
        <w:trHeight w:val="240"/>
      </w:trPr>
      <w:tc>
        <w:tcPr>
          <w:tcMar>
            <w:left w:w="100" w:type="dxa"/>
            <w:right w:w="10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3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noProof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OC1">
    <w:name w:val="toc 1"/>
    <w:basedOn w:val="Normal"/>
    <w:next w:val="Normal"/>
    <w:autoRedefine/>
    <w:rsid w:val="00805BCE"/>
    <w:rPr>
      <w:b w:val="0"/>
      <w:caps w:val="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paragraph" w:styleId="TOC3">
    <w:name w:val="toc 3"/>
    <w:basedOn w:val="Normal"/>
    <w:next w:val="Normal"/>
    <w:autoRedefine/>
    <w:rsid w:val="00805BCE"/>
    <w:pPr>
      <w:ind w:left="480"/>
    </w:pPr>
    <w:rPr>
      <w:i w:val="0"/>
    </w:rPr>
  </w:style>
  <w:style w:type="paragraph" w:styleId="TOC4">
    <w:name w:val="toc 4"/>
    <w:basedOn w:val="Normal"/>
    <w:next w:val="Normal"/>
    <w:autoRedefine/>
    <w:rsid w:val="00805BCE"/>
    <w:pPr>
      <w:ind w:left="720"/>
    </w:pPr>
    <w:rPr>
      <w:i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3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