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6.4.0 -->
  <w:body>
    <w:p w:rsidR="00A77B3E">
      <w:pPr>
        <w:jc w:val="left"/>
      </w:pPr>
    </w:p>
    <w:p w:rsidR="00A77B3E">
      <w:pPr>
        <w:jc w:val="center"/>
        <w:rPr>
          <w:rFonts w:ascii="Times New Roman" w:eastAsia="Times New Roman" w:hAnsi="Times New Roman" w:cs="Times New Roman"/>
          <w:vanish w:val="0"/>
          <w:color w:val="000000"/>
          <w:sz w:val="32"/>
        </w:rPr>
      </w:pPr>
      <w:r>
        <w:rPr>
          <w:rFonts w:ascii="Times New Roman" w:eastAsia="Times New Roman" w:hAnsi="Times New Roman" w:cs="Times New Roman"/>
          <w:vanish w:val="0"/>
          <w:color w:val="000000"/>
          <w:sz w:val="32"/>
        </w:rPr>
        <w:t>Program SFC2021 za AMIF, SNV in IUMV</w:t>
      </w:r>
    </w:p>
    <w:p w:rsidR="00A77B3E">
      <w:pPr>
        <w:jc w:val="center"/>
        <w:rPr>
          <w:rFonts w:ascii="Times New Roman" w:eastAsia="Times New Roman" w:hAnsi="Times New Roman" w:cs="Times New Roman"/>
          <w:vanish w:val="0"/>
          <w:color w:val="000000"/>
          <w:sz w:val="3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5225"/>
        <w:gridCol w:w="5225"/>
      </w:tblGrid>
      <w:tr>
        <w:tblPrEx>
          <w:tblW w:w="5000" w:type="pct"/>
        </w:tblPrEx>
        <w:trPr>
          <w:trHeight w:val="240"/>
        </w:trPr>
        <w:tc>
          <w:tcPr>
            <w:tcW w:w="1667" w:type="pct"/>
            <w:tcMar>
              <w:left w:w="100" w:type="dxa"/>
              <w:right w:w="100" w:type="dxa"/>
            </w:tcMar>
            <w:vAlign w:val="top"/>
          </w:tcPr>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Številka CCI</w:t>
            </w:r>
          </w:p>
        </w:tc>
        <w:tc>
          <w:tcPr>
            <w:tcW w:w="1667" w:type="pct"/>
            <w:tcMar>
              <w:left w:w="100" w:type="dxa"/>
              <w:right w:w="100" w:type="dxa"/>
            </w:tcMar>
            <w:vAlign w:val="top"/>
          </w:tcPr>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2021SI65ISPR001</w:t>
            </w:r>
          </w:p>
        </w:tc>
      </w:tr>
      <w:tr>
        <w:tblPrEx>
          <w:tblW w:w="5000" w:type="pct"/>
        </w:tblPrEx>
        <w:trPr>
          <w:trHeight w:val="240"/>
        </w:trPr>
        <w:tc>
          <w:tcPr>
            <w:tcW w:w="1667" w:type="pct"/>
            <w:tcMar>
              <w:left w:w="100" w:type="dxa"/>
              <w:right w:w="100" w:type="dxa"/>
            </w:tcMar>
            <w:vAlign w:val="top"/>
          </w:tcPr>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Naslov v angleščini</w:t>
            </w:r>
          </w:p>
        </w:tc>
        <w:tc>
          <w:tcPr>
            <w:tcW w:w="1667" w:type="pct"/>
            <w:tcMar>
              <w:left w:w="100" w:type="dxa"/>
              <w:right w:w="100" w:type="dxa"/>
            </w:tcMar>
            <w:vAlign w:val="top"/>
          </w:tcPr>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Programme Slovenia - ISF</w:t>
            </w:r>
          </w:p>
        </w:tc>
      </w:tr>
      <w:tr>
        <w:tblPrEx>
          <w:tblW w:w="5000" w:type="pct"/>
        </w:tblPrEx>
        <w:trPr>
          <w:trHeight w:val="240"/>
        </w:trPr>
        <w:tc>
          <w:tcPr>
            <w:tcW w:w="1667" w:type="pct"/>
            <w:tcMar>
              <w:left w:w="100" w:type="dxa"/>
              <w:right w:w="100" w:type="dxa"/>
            </w:tcMar>
            <w:vAlign w:val="top"/>
          </w:tcPr>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Naslov v nacionalnem jeziku (nacionalnih jezikih)</w:t>
            </w:r>
          </w:p>
        </w:tc>
        <w:tc>
          <w:tcPr>
            <w:tcW w:w="1667" w:type="pct"/>
            <w:tcMar>
              <w:left w:w="100" w:type="dxa"/>
              <w:right w:w="100" w:type="dxa"/>
            </w:tcMar>
            <w:vAlign w:val="top"/>
          </w:tcPr>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SL - Programme Slovenia - SNV</w:t>
            </w:r>
          </w:p>
        </w:tc>
      </w:tr>
      <w:tr>
        <w:tblPrEx>
          <w:tblW w:w="5000" w:type="pct"/>
        </w:tblPrEx>
        <w:trPr>
          <w:trHeight w:val="240"/>
        </w:trPr>
        <w:tc>
          <w:tcPr>
            <w:tcW w:w="1667" w:type="pct"/>
            <w:tcMar>
              <w:left w:w="100" w:type="dxa"/>
              <w:right w:w="100" w:type="dxa"/>
            </w:tcMar>
            <w:vAlign w:val="top"/>
          </w:tcPr>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Različica</w:t>
            </w:r>
          </w:p>
        </w:tc>
        <w:tc>
          <w:tcPr>
            <w:tcW w:w="1667" w:type="pct"/>
            <w:tcMar>
              <w:left w:w="100" w:type="dxa"/>
              <w:right w:w="100" w:type="dxa"/>
            </w:tcMar>
            <w:vAlign w:val="top"/>
          </w:tcPr>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4.0</w:t>
            </w:r>
          </w:p>
        </w:tc>
      </w:tr>
      <w:tr>
        <w:tblPrEx>
          <w:tblW w:w="5000" w:type="pct"/>
        </w:tblPrEx>
        <w:trPr>
          <w:trHeight w:val="240"/>
        </w:trPr>
        <w:tc>
          <w:tcPr>
            <w:tcW w:w="1667" w:type="pct"/>
            <w:tcMar>
              <w:left w:w="100" w:type="dxa"/>
              <w:right w:w="100" w:type="dxa"/>
            </w:tcMar>
            <w:vAlign w:val="top"/>
          </w:tcPr>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Prvo leto</w:t>
            </w:r>
          </w:p>
        </w:tc>
        <w:tc>
          <w:tcPr>
            <w:tcW w:w="1667" w:type="pct"/>
            <w:tcMar>
              <w:left w:w="100" w:type="dxa"/>
              <w:right w:w="100" w:type="dxa"/>
            </w:tcMar>
            <w:vAlign w:val="top"/>
          </w:tcPr>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2021</w:t>
            </w:r>
          </w:p>
        </w:tc>
      </w:tr>
      <w:tr>
        <w:tblPrEx>
          <w:tblW w:w="5000" w:type="pct"/>
        </w:tblPrEx>
        <w:trPr>
          <w:trHeight w:val="240"/>
        </w:trPr>
        <w:tc>
          <w:tcPr>
            <w:tcW w:w="1667" w:type="pct"/>
            <w:tcMar>
              <w:left w:w="100" w:type="dxa"/>
              <w:right w:w="100" w:type="dxa"/>
            </w:tcMar>
            <w:vAlign w:val="top"/>
          </w:tcPr>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Zadnje leto</w:t>
            </w:r>
          </w:p>
        </w:tc>
        <w:tc>
          <w:tcPr>
            <w:tcW w:w="1667" w:type="pct"/>
            <w:tcMar>
              <w:left w:w="100" w:type="dxa"/>
              <w:right w:w="100" w:type="dxa"/>
            </w:tcMar>
            <w:vAlign w:val="top"/>
          </w:tcPr>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2027</w:t>
            </w:r>
          </w:p>
        </w:tc>
      </w:tr>
      <w:tr>
        <w:tblPrEx>
          <w:tblW w:w="5000" w:type="pct"/>
        </w:tblPrEx>
        <w:trPr>
          <w:trHeight w:val="240"/>
        </w:trPr>
        <w:tc>
          <w:tcPr>
            <w:tcW w:w="1667" w:type="pct"/>
            <w:tcMar>
              <w:left w:w="100" w:type="dxa"/>
              <w:right w:w="100" w:type="dxa"/>
            </w:tcMar>
            <w:vAlign w:val="top"/>
          </w:tcPr>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Upravičen od</w:t>
            </w:r>
          </w:p>
        </w:tc>
        <w:tc>
          <w:tcPr>
            <w:tcW w:w="1667" w:type="pct"/>
            <w:tcMar>
              <w:left w:w="100" w:type="dxa"/>
              <w:right w:w="100" w:type="dxa"/>
            </w:tcMar>
            <w:vAlign w:val="top"/>
          </w:tcPr>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1. jan. 2021</w:t>
            </w:r>
          </w:p>
        </w:tc>
      </w:tr>
      <w:tr>
        <w:tblPrEx>
          <w:tblW w:w="5000" w:type="pct"/>
        </w:tblPrEx>
        <w:trPr>
          <w:trHeight w:val="240"/>
        </w:trPr>
        <w:tc>
          <w:tcPr>
            <w:tcW w:w="1667" w:type="pct"/>
            <w:tcMar>
              <w:left w:w="100" w:type="dxa"/>
              <w:right w:w="100" w:type="dxa"/>
            </w:tcMar>
            <w:vAlign w:val="top"/>
          </w:tcPr>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Upravičen do</w:t>
            </w:r>
          </w:p>
        </w:tc>
        <w:tc>
          <w:tcPr>
            <w:tcW w:w="1667" w:type="pct"/>
            <w:tcMar>
              <w:left w:w="100" w:type="dxa"/>
              <w:right w:w="100" w:type="dxa"/>
            </w:tcMar>
            <w:vAlign w:val="top"/>
          </w:tcPr>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31. dec. 2029</w:t>
            </w:r>
          </w:p>
        </w:tc>
      </w:tr>
      <w:tr>
        <w:tblPrEx>
          <w:tblW w:w="5000" w:type="pct"/>
        </w:tblPrEx>
        <w:trPr>
          <w:trHeight w:val="240"/>
        </w:trPr>
        <w:tc>
          <w:tcPr>
            <w:tcW w:w="1667" w:type="pct"/>
            <w:tcMar>
              <w:left w:w="100" w:type="dxa"/>
              <w:right w:w="100" w:type="dxa"/>
            </w:tcMar>
            <w:vAlign w:val="top"/>
          </w:tcPr>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Številka sklepa Komisije</w:t>
            </w:r>
          </w:p>
        </w:tc>
        <w:tc>
          <w:tcPr>
            <w:tcW w:w="1667" w:type="pct"/>
            <w:tcMar>
              <w:left w:w="100" w:type="dxa"/>
              <w:right w:w="100" w:type="dxa"/>
            </w:tcMar>
            <w:vAlign w:val="top"/>
          </w:tcPr>
          <w:p w:rsidR="00A77B3E">
            <w:pPr>
              <w:jc w:val="left"/>
              <w:rPr>
                <w:rFonts w:ascii="Times New Roman" w:eastAsia="Times New Roman" w:hAnsi="Times New Roman" w:cs="Times New Roman"/>
                <w:b w:val="0"/>
                <w:i w:val="0"/>
                <w:vanish w:val="0"/>
                <w:color w:val="000000"/>
                <w:sz w:val="24"/>
              </w:rPr>
            </w:pPr>
          </w:p>
        </w:tc>
      </w:tr>
      <w:tr>
        <w:tblPrEx>
          <w:tblW w:w="5000" w:type="pct"/>
        </w:tblPrEx>
        <w:trPr>
          <w:trHeight w:val="240"/>
        </w:trPr>
        <w:tc>
          <w:tcPr>
            <w:tcW w:w="1667" w:type="pct"/>
            <w:tcMar>
              <w:left w:w="100" w:type="dxa"/>
              <w:right w:w="100" w:type="dxa"/>
            </w:tcMar>
            <w:vAlign w:val="top"/>
          </w:tcPr>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Datum sklepa Komisije</w:t>
            </w:r>
          </w:p>
        </w:tc>
        <w:tc>
          <w:tcPr>
            <w:tcW w:w="1667" w:type="pct"/>
            <w:tcMar>
              <w:left w:w="100" w:type="dxa"/>
              <w:right w:w="100" w:type="dxa"/>
            </w:tcMar>
            <w:vAlign w:val="top"/>
          </w:tcPr>
          <w:p w:rsidR="00A77B3E">
            <w:pPr>
              <w:jc w:val="left"/>
              <w:rPr>
                <w:rFonts w:ascii="Times New Roman" w:eastAsia="Times New Roman" w:hAnsi="Times New Roman" w:cs="Times New Roman"/>
                <w:b w:val="0"/>
                <w:i w:val="0"/>
                <w:vanish w:val="0"/>
                <w:color w:val="000000"/>
                <w:sz w:val="24"/>
              </w:rPr>
            </w:pPr>
          </w:p>
        </w:tc>
      </w:tr>
      <w:tr>
        <w:tblPrEx>
          <w:tblW w:w="5000" w:type="pct"/>
        </w:tblPrEx>
        <w:trPr>
          <w:trHeight w:val="240"/>
        </w:trPr>
        <w:tc>
          <w:tcPr>
            <w:tcW w:w="1667" w:type="pct"/>
            <w:tcMar>
              <w:left w:w="100" w:type="dxa"/>
              <w:right w:w="100" w:type="dxa"/>
            </w:tcMar>
            <w:vAlign w:val="top"/>
          </w:tcPr>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Številka sklepa države članice o spremembi</w:t>
            </w:r>
          </w:p>
        </w:tc>
        <w:tc>
          <w:tcPr>
            <w:tcW w:w="1667" w:type="pct"/>
            <w:tcMar>
              <w:left w:w="100" w:type="dxa"/>
              <w:right w:w="100" w:type="dxa"/>
            </w:tcMar>
            <w:vAlign w:val="top"/>
          </w:tcPr>
          <w:p w:rsidR="00A77B3E">
            <w:pPr>
              <w:jc w:val="left"/>
              <w:rPr>
                <w:rFonts w:ascii="Times New Roman" w:eastAsia="Times New Roman" w:hAnsi="Times New Roman" w:cs="Times New Roman"/>
                <w:b w:val="0"/>
                <w:i w:val="0"/>
                <w:vanish w:val="0"/>
                <w:color w:val="000000"/>
                <w:sz w:val="24"/>
              </w:rPr>
            </w:pPr>
          </w:p>
        </w:tc>
      </w:tr>
      <w:tr>
        <w:tblPrEx>
          <w:tblW w:w="5000" w:type="pct"/>
        </w:tblPrEx>
        <w:trPr>
          <w:trHeight w:val="240"/>
        </w:trPr>
        <w:tc>
          <w:tcPr>
            <w:tcW w:w="1667" w:type="pct"/>
            <w:tcMar>
              <w:left w:w="100" w:type="dxa"/>
              <w:right w:w="100" w:type="dxa"/>
            </w:tcMar>
            <w:vAlign w:val="top"/>
          </w:tcPr>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Datum začetka veljavnosti sklepa države članice o spremembi</w:t>
            </w:r>
          </w:p>
        </w:tc>
        <w:tc>
          <w:tcPr>
            <w:tcW w:w="1667" w:type="pct"/>
            <w:tcMar>
              <w:left w:w="100" w:type="dxa"/>
              <w:right w:w="100" w:type="dxa"/>
            </w:tcMar>
            <w:vAlign w:val="top"/>
          </w:tcPr>
          <w:p w:rsidR="00A77B3E">
            <w:pPr>
              <w:jc w:val="left"/>
              <w:rPr>
                <w:rFonts w:ascii="Times New Roman" w:eastAsia="Times New Roman" w:hAnsi="Times New Roman" w:cs="Times New Roman"/>
                <w:b w:val="0"/>
                <w:i w:val="0"/>
                <w:vanish w:val="0"/>
                <w:color w:val="000000"/>
                <w:sz w:val="24"/>
              </w:rPr>
            </w:pPr>
          </w:p>
        </w:tc>
      </w:tr>
      <w:tr>
        <w:tblPrEx>
          <w:tblW w:w="5000" w:type="pct"/>
        </w:tblPrEx>
        <w:trPr>
          <w:trHeight w:val="240"/>
        </w:trPr>
        <w:tc>
          <w:tcPr>
            <w:tcW w:w="1667" w:type="pct"/>
            <w:tcMar>
              <w:left w:w="100" w:type="dxa"/>
              <w:right w:w="100" w:type="dxa"/>
            </w:tcMar>
            <w:vAlign w:val="top"/>
          </w:tcPr>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Nebistvena prerazporeditev (člen 24(5) uredbe o skupnih določbah)</w:t>
            </w:r>
          </w:p>
        </w:tc>
        <w:tc>
          <w:tcPr>
            <w:tcW w:w="1667" w:type="pct"/>
            <w:tcMar>
              <w:left w:w="100" w:type="dxa"/>
              <w:right w:w="100" w:type="dxa"/>
            </w:tcMar>
            <w:vAlign w:val="top"/>
          </w:tcPr>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Ne</w:t>
            </w:r>
          </w:p>
        </w:tc>
      </w:tr>
      <w:tr>
        <w:tblPrEx>
          <w:tblW w:w="5000" w:type="pct"/>
        </w:tblPrEx>
        <w:trPr>
          <w:trHeight w:val="240"/>
        </w:trPr>
        <w:tc>
          <w:tcPr>
            <w:tcW w:w="1667" w:type="pct"/>
            <w:tcMar>
              <w:left w:w="100" w:type="dxa"/>
              <w:right w:w="100" w:type="dxa"/>
            </w:tcMar>
            <w:vAlign w:val="top"/>
          </w:tcPr>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Redakcijsko-tehnični popravki (člen 24(6) uredbe o skupnih določbah)</w:t>
            </w:r>
          </w:p>
        </w:tc>
        <w:tc>
          <w:tcPr>
            <w:tcW w:w="1667" w:type="pct"/>
            <w:tcMar>
              <w:left w:w="100" w:type="dxa"/>
              <w:right w:w="100" w:type="dxa"/>
            </w:tcMar>
            <w:vAlign w:val="top"/>
          </w:tcPr>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Ne</w:t>
            </w:r>
          </w:p>
        </w:tc>
      </w:tr>
      <w:tr>
        <w:tblPrEx>
          <w:tblW w:w="5000" w:type="pct"/>
        </w:tblPrEx>
        <w:trPr>
          <w:trHeight w:val="240"/>
        </w:trPr>
        <w:tc>
          <w:tcPr>
            <w:tcW w:w="1667" w:type="pct"/>
            <w:tcMar>
              <w:left w:w="100" w:type="dxa"/>
              <w:right w:w="100" w:type="dxa"/>
            </w:tcMar>
            <w:vAlign w:val="top"/>
          </w:tcPr>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Tematski instrument (člen 11 uredbe o AMIF, člen 8 uredbe o IUMV, člen 8 uredbe o SNV)</w:t>
            </w:r>
          </w:p>
        </w:tc>
        <w:tc>
          <w:tcPr>
            <w:tcW w:w="1667" w:type="pct"/>
            <w:tcMar>
              <w:left w:w="100" w:type="dxa"/>
              <w:right w:w="100" w:type="dxa"/>
            </w:tcMar>
            <w:vAlign w:val="top"/>
          </w:tcPr>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Ne</w:t>
            </w:r>
          </w:p>
        </w:tc>
      </w:tr>
      <w:tr>
        <w:tblPrEx>
          <w:tblW w:w="5000" w:type="pct"/>
        </w:tblPrEx>
        <w:trPr>
          <w:trHeight w:val="240"/>
        </w:trPr>
        <w:tc>
          <w:tcPr>
            <w:tcW w:w="1667" w:type="pct"/>
            <w:tcMar>
              <w:left w:w="100" w:type="dxa"/>
              <w:right w:w="100" w:type="dxa"/>
            </w:tcMar>
            <w:vAlign w:val="top"/>
          </w:tcPr>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Odobril odbor za spremljanje</w:t>
            </w:r>
          </w:p>
        </w:tc>
        <w:tc>
          <w:tcPr>
            <w:tcW w:w="1667" w:type="pct"/>
            <w:tcMar>
              <w:left w:w="100" w:type="dxa"/>
              <w:right w:w="100" w:type="dxa"/>
            </w:tcMar>
            <w:vAlign w:val="top"/>
          </w:tcPr>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Da</w:t>
            </w:r>
          </w:p>
        </w:tc>
      </w:tr>
    </w:tbl>
    <w:p w:rsidR="00A77B3E">
      <w:pPr>
        <w:jc w:val="center"/>
        <w:rPr>
          <w:rFonts w:ascii="Times New Roman" w:eastAsia="Times New Roman" w:hAnsi="Times New Roman" w:cs="Times New Roman"/>
          <w:b/>
          <w:vanish w:val="0"/>
          <w:color w:val="000000"/>
          <w:sz w:val="24"/>
        </w:rPr>
      </w:pPr>
      <w:r>
        <w:rPr>
          <w:rFonts w:ascii="Times New Roman" w:eastAsia="Times New Roman" w:hAnsi="Times New Roman" w:cs="Times New Roman"/>
          <w:b w:val="0"/>
          <w:vanish w:val="0"/>
          <w:color w:val="000000"/>
          <w:sz w:val="24"/>
        </w:rPr>
        <w:br w:type="page"/>
      </w:r>
      <w:r>
        <w:rPr>
          <w:rFonts w:ascii="Times New Roman" w:eastAsia="Times New Roman" w:hAnsi="Times New Roman" w:cs="Times New Roman"/>
          <w:b/>
          <w:vanish w:val="0"/>
          <w:color w:val="000000"/>
          <w:sz w:val="24"/>
        </w:rPr>
        <w:t>Kazalo</w:t>
      </w:r>
    </w:p>
    <w:p w:rsidR="00A77B3E">
      <w:pPr>
        <w:jc w:val="center"/>
        <w:rPr>
          <w:rFonts w:ascii="Times New Roman" w:eastAsia="Times New Roman" w:hAnsi="Times New Roman" w:cs="Times New Roman"/>
          <w:b w:val="0"/>
          <w:vanish w:val="0"/>
          <w:color w:val="000000"/>
          <w:sz w:val="24"/>
        </w:rPr>
      </w:pPr>
    </w:p>
    <w:p>
      <w:pPr>
        <w:pStyle w:val="TOC1"/>
        <w:tabs>
          <w:tab w:val="right" w:leader="dot" w:pos="10240"/>
        </w:tabs>
        <w:rPr>
          <w:rFonts w:ascii="Calibri" w:hAnsi="Calibri"/>
          <w:noProof/>
          <w:sz w:val="22"/>
        </w:rPr>
      </w:pPr>
      <w:r w:rsidR="00A77B3E">
        <w:rPr>
          <w:rFonts w:ascii="Times New Roman" w:eastAsia="Times New Roman" w:hAnsi="Times New Roman" w:cs="Times New Roman"/>
          <w:b w:val="0"/>
          <w:vanish w:val="0"/>
          <w:color w:val="000000"/>
          <w:sz w:val="24"/>
        </w:rPr>
        <w:fldChar w:fldCharType="begin"/>
      </w:r>
      <w:r w:rsidR="00A77B3E">
        <w:rPr>
          <w:rFonts w:ascii="Times New Roman" w:eastAsia="Times New Roman" w:hAnsi="Times New Roman" w:cs="Times New Roman"/>
          <w:b w:val="0"/>
          <w:vanish w:val="0"/>
          <w:color w:val="000000"/>
          <w:sz w:val="24"/>
        </w:rPr>
        <w:instrText>TOC \o "1-9" \z \u \h</w:instrText>
      </w:r>
      <w:r w:rsidR="00A77B3E">
        <w:rPr>
          <w:rFonts w:ascii="Times New Roman" w:eastAsia="Times New Roman" w:hAnsi="Times New Roman" w:cs="Times New Roman"/>
          <w:b w:val="0"/>
          <w:vanish w:val="0"/>
          <w:color w:val="000000"/>
          <w:sz w:val="24"/>
        </w:rPr>
        <w:fldChar w:fldCharType="separate"/>
      </w:r>
      <w:hyperlink w:anchor="_Toc256000055" w:history="1">
        <w:r w:rsidR="00A77B3E">
          <w:rPr>
            <w:rStyle w:val="Hyperlink"/>
            <w:rFonts w:ascii="Times New Roman" w:hAnsi="Times New Roman" w:cs="Times New Roman"/>
          </w:rPr>
          <w:t>1. Strategija programa: glavni izzivi in odzivi politik</w:t>
        </w:r>
        <w:r>
          <w:tab/>
        </w:r>
        <w:r>
          <w:fldChar w:fldCharType="begin"/>
        </w:r>
        <w:r>
          <w:instrText xml:space="preserve"> PAGEREF _Toc256000055 \h </w:instrText>
        </w:r>
        <w:r>
          <w:fldChar w:fldCharType="separate"/>
        </w:r>
        <w:r>
          <w:t>4</w:t>
        </w:r>
        <w:r>
          <w:fldChar w:fldCharType="end"/>
        </w:r>
      </w:hyperlink>
    </w:p>
    <w:p>
      <w:pPr>
        <w:pStyle w:val="TOC1"/>
        <w:tabs>
          <w:tab w:val="right" w:leader="dot" w:pos="10240"/>
        </w:tabs>
        <w:rPr>
          <w:rFonts w:ascii="Calibri" w:hAnsi="Calibri"/>
          <w:noProof/>
          <w:sz w:val="22"/>
        </w:rPr>
      </w:pPr>
      <w:hyperlink w:anchor="_Toc256000056" w:history="1">
        <w:r w:rsidR="00A77B3E">
          <w:rPr>
            <w:rStyle w:val="Hyperlink"/>
            <w:rFonts w:ascii="Times New Roman" w:hAnsi="Times New Roman" w:cs="Times New Roman"/>
          </w:rPr>
          <w:t>2. Specifični cilji in tehnična pomoč</w:t>
        </w:r>
        <w:r>
          <w:tab/>
        </w:r>
        <w:r>
          <w:fldChar w:fldCharType="begin"/>
        </w:r>
        <w:r>
          <w:instrText xml:space="preserve"> PAGEREF _Toc256000056 \h </w:instrText>
        </w:r>
        <w:r>
          <w:fldChar w:fldCharType="separate"/>
        </w:r>
        <w:r>
          <w:t>8</w:t>
        </w:r>
        <w:r>
          <w:fldChar w:fldCharType="end"/>
        </w:r>
      </w:hyperlink>
    </w:p>
    <w:p>
      <w:pPr>
        <w:pStyle w:val="TOC2"/>
        <w:tabs>
          <w:tab w:val="right" w:leader="dot" w:pos="10240"/>
        </w:tabs>
        <w:rPr>
          <w:rFonts w:ascii="Calibri" w:hAnsi="Calibri"/>
          <w:noProof/>
          <w:sz w:val="22"/>
        </w:rPr>
      </w:pPr>
      <w:hyperlink w:anchor="_Toc256000057" w:history="1">
        <w:r w:rsidR="00A77B3E">
          <w:rPr>
            <w:rStyle w:val="Hyperlink"/>
            <w:rFonts w:ascii="TimesNewRoman" w:eastAsia="TimesNewRoman" w:hAnsi="TimesNewRoman" w:cs="TimesNewRoman"/>
          </w:rPr>
          <w:t>2.1. Specifični cilj: 1. Izmenjava informacij</w:t>
        </w:r>
        <w:r>
          <w:tab/>
        </w:r>
        <w:r>
          <w:fldChar w:fldCharType="begin"/>
        </w:r>
        <w:r>
          <w:instrText xml:space="preserve"> PAGEREF _Toc256000057 \h </w:instrText>
        </w:r>
        <w:r>
          <w:fldChar w:fldCharType="separate"/>
        </w:r>
        <w:r>
          <w:t>9</w:t>
        </w:r>
        <w:r>
          <w:fldChar w:fldCharType="end"/>
        </w:r>
      </w:hyperlink>
    </w:p>
    <w:p>
      <w:pPr>
        <w:pStyle w:val="TOC3"/>
        <w:tabs>
          <w:tab w:val="right" w:leader="dot" w:pos="10240"/>
        </w:tabs>
        <w:rPr>
          <w:rFonts w:ascii="Calibri" w:hAnsi="Calibri"/>
          <w:noProof/>
          <w:sz w:val="22"/>
        </w:rPr>
      </w:pPr>
      <w:hyperlink w:anchor="_Toc256000058" w:history="1">
        <w:r w:rsidR="00A77B3E">
          <w:rPr>
            <w:rStyle w:val="Hyperlink"/>
            <w:rFonts w:ascii="TimesNewRoman" w:eastAsia="TimesNewRoman" w:hAnsi="TimesNewRoman" w:cs="TimesNewRoman"/>
          </w:rPr>
          <w:t>2.1.1. Opis specifičnega cilja</w:t>
        </w:r>
        <w:r>
          <w:tab/>
        </w:r>
        <w:r>
          <w:fldChar w:fldCharType="begin"/>
        </w:r>
        <w:r>
          <w:instrText xml:space="preserve"> PAGEREF _Toc256000058 \h </w:instrText>
        </w:r>
        <w:r>
          <w:fldChar w:fldCharType="separate"/>
        </w:r>
        <w:r>
          <w:t>9</w:t>
        </w:r>
        <w:r>
          <w:fldChar w:fldCharType="end"/>
        </w:r>
      </w:hyperlink>
    </w:p>
    <w:p>
      <w:pPr>
        <w:pStyle w:val="TOC3"/>
        <w:tabs>
          <w:tab w:val="right" w:leader="dot" w:pos="10240"/>
        </w:tabs>
        <w:rPr>
          <w:rFonts w:ascii="Calibri" w:hAnsi="Calibri"/>
          <w:noProof/>
          <w:sz w:val="22"/>
        </w:rPr>
      </w:pPr>
      <w:hyperlink w:anchor="_Toc256000059" w:history="1">
        <w:r w:rsidR="00A77B3E">
          <w:rPr>
            <w:rStyle w:val="Hyperlink"/>
            <w:rFonts w:ascii="Times New Roman" w:hAnsi="Times New Roman" w:cs="Times New Roman"/>
          </w:rPr>
          <w:t>2.1.2. Kazalniki</w:t>
        </w:r>
        <w:r>
          <w:tab/>
        </w:r>
        <w:r>
          <w:fldChar w:fldCharType="begin"/>
        </w:r>
        <w:r>
          <w:instrText xml:space="preserve"> PAGEREF _Toc256000059 \h </w:instrText>
        </w:r>
        <w:r>
          <w:fldChar w:fldCharType="separate"/>
        </w:r>
        <w:r>
          <w:t>15</w:t>
        </w:r>
        <w:r>
          <w:fldChar w:fldCharType="end"/>
        </w:r>
      </w:hyperlink>
    </w:p>
    <w:p>
      <w:pPr>
        <w:pStyle w:val="TOC4"/>
        <w:tabs>
          <w:tab w:val="right" w:leader="dot" w:pos="10240"/>
        </w:tabs>
        <w:rPr>
          <w:rFonts w:ascii="Calibri" w:hAnsi="Calibri"/>
          <w:noProof/>
          <w:sz w:val="22"/>
        </w:rPr>
      </w:pPr>
      <w:hyperlink w:anchor="_Toc256000060" w:history="1">
        <w:r w:rsidR="00A77B3E">
          <w:rPr>
            <w:rStyle w:val="Hyperlink"/>
          </w:rPr>
          <w:t>Tabela 1: Kazalniki učinka</w:t>
        </w:r>
        <w:r>
          <w:tab/>
        </w:r>
        <w:r>
          <w:fldChar w:fldCharType="begin"/>
        </w:r>
        <w:r>
          <w:instrText xml:space="preserve"> PAGEREF _Toc256000060 \h </w:instrText>
        </w:r>
        <w:r>
          <w:fldChar w:fldCharType="separate"/>
        </w:r>
        <w:r>
          <w:t>15</w:t>
        </w:r>
        <w:r>
          <w:fldChar w:fldCharType="end"/>
        </w:r>
      </w:hyperlink>
    </w:p>
    <w:p>
      <w:pPr>
        <w:pStyle w:val="TOC4"/>
        <w:tabs>
          <w:tab w:val="right" w:leader="dot" w:pos="10240"/>
        </w:tabs>
        <w:rPr>
          <w:rFonts w:ascii="Calibri" w:hAnsi="Calibri"/>
          <w:noProof/>
          <w:sz w:val="22"/>
        </w:rPr>
      </w:pPr>
      <w:hyperlink w:anchor="_Toc256000061" w:history="1">
        <w:r w:rsidR="00A77B3E">
          <w:rPr>
            <w:rStyle w:val="Hyperlink"/>
          </w:rPr>
          <w:t>Tabela 2: Kazalniki rezultatov</w:t>
        </w:r>
        <w:r>
          <w:tab/>
        </w:r>
        <w:r>
          <w:fldChar w:fldCharType="begin"/>
        </w:r>
        <w:r>
          <w:instrText xml:space="preserve"> PAGEREF _Toc256000061 \h </w:instrText>
        </w:r>
        <w:r>
          <w:fldChar w:fldCharType="separate"/>
        </w:r>
        <w:r>
          <w:t>16</w:t>
        </w:r>
        <w:r>
          <w:fldChar w:fldCharType="end"/>
        </w:r>
      </w:hyperlink>
    </w:p>
    <w:p>
      <w:pPr>
        <w:pStyle w:val="TOC3"/>
        <w:tabs>
          <w:tab w:val="right" w:leader="dot" w:pos="10240"/>
        </w:tabs>
        <w:rPr>
          <w:rFonts w:ascii="Calibri" w:hAnsi="Calibri"/>
          <w:noProof/>
          <w:sz w:val="22"/>
        </w:rPr>
      </w:pPr>
      <w:hyperlink w:anchor="_Toc256000062" w:history="1">
        <w:r w:rsidR="00A77B3E">
          <w:rPr>
            <w:rStyle w:val="Hyperlink"/>
            <w:rFonts w:ascii="Times New Roman" w:hAnsi="Times New Roman" w:cs="Times New Roman"/>
          </w:rPr>
          <w:t>2.1.3. Okvirna razčlenitev programskih sredstev (EU) po vrsti ukrepa</w:t>
        </w:r>
        <w:r>
          <w:tab/>
        </w:r>
        <w:r>
          <w:fldChar w:fldCharType="begin"/>
        </w:r>
        <w:r>
          <w:instrText xml:space="preserve"> PAGEREF _Toc256000062 \h </w:instrText>
        </w:r>
        <w:r>
          <w:fldChar w:fldCharType="separate"/>
        </w:r>
        <w:r>
          <w:t>18</w:t>
        </w:r>
        <w:r>
          <w:fldChar w:fldCharType="end"/>
        </w:r>
      </w:hyperlink>
    </w:p>
    <w:p>
      <w:pPr>
        <w:pStyle w:val="TOC4"/>
        <w:tabs>
          <w:tab w:val="right" w:leader="dot" w:pos="10240"/>
        </w:tabs>
        <w:rPr>
          <w:rFonts w:ascii="Calibri" w:hAnsi="Calibri"/>
          <w:noProof/>
          <w:sz w:val="22"/>
        </w:rPr>
      </w:pPr>
      <w:hyperlink w:anchor="_Toc256000063" w:history="1">
        <w:r w:rsidR="00A77B3E">
          <w:rPr>
            <w:rStyle w:val="Hyperlink"/>
          </w:rPr>
          <w:t>Tabela 3: Okvirna razčlenitev</w:t>
        </w:r>
        <w:r>
          <w:tab/>
        </w:r>
        <w:r>
          <w:fldChar w:fldCharType="begin"/>
        </w:r>
        <w:r>
          <w:instrText xml:space="preserve"> PAGEREF _Toc256000063 \h </w:instrText>
        </w:r>
        <w:r>
          <w:fldChar w:fldCharType="separate"/>
        </w:r>
        <w:r>
          <w:t>18</w:t>
        </w:r>
        <w:r>
          <w:fldChar w:fldCharType="end"/>
        </w:r>
      </w:hyperlink>
    </w:p>
    <w:p>
      <w:pPr>
        <w:pStyle w:val="TOC2"/>
        <w:tabs>
          <w:tab w:val="right" w:leader="dot" w:pos="10240"/>
        </w:tabs>
        <w:rPr>
          <w:rFonts w:ascii="Calibri" w:hAnsi="Calibri"/>
          <w:noProof/>
          <w:sz w:val="22"/>
        </w:rPr>
      </w:pPr>
      <w:hyperlink w:anchor="_Toc256000064" w:history="1">
        <w:r w:rsidR="00A77B3E">
          <w:rPr>
            <w:rStyle w:val="Hyperlink"/>
            <w:rFonts w:ascii="TimesNewRoman" w:eastAsia="TimesNewRoman" w:hAnsi="TimesNewRoman" w:cs="TimesNewRoman"/>
          </w:rPr>
          <w:t>2.1. Specifični cilj: 2. Čezmejno sodelovanje</w:t>
        </w:r>
        <w:r>
          <w:tab/>
        </w:r>
        <w:r>
          <w:fldChar w:fldCharType="begin"/>
        </w:r>
        <w:r>
          <w:instrText xml:space="preserve"> PAGEREF _Toc256000064 \h </w:instrText>
        </w:r>
        <w:r>
          <w:fldChar w:fldCharType="separate"/>
        </w:r>
        <w:r>
          <w:t>19</w:t>
        </w:r>
        <w:r>
          <w:fldChar w:fldCharType="end"/>
        </w:r>
      </w:hyperlink>
    </w:p>
    <w:p>
      <w:pPr>
        <w:pStyle w:val="TOC3"/>
        <w:tabs>
          <w:tab w:val="right" w:leader="dot" w:pos="10240"/>
        </w:tabs>
        <w:rPr>
          <w:rFonts w:ascii="Calibri" w:hAnsi="Calibri"/>
          <w:noProof/>
          <w:sz w:val="22"/>
        </w:rPr>
      </w:pPr>
      <w:hyperlink w:anchor="_Toc256000065" w:history="1">
        <w:r w:rsidR="00A77B3E">
          <w:rPr>
            <w:rStyle w:val="Hyperlink"/>
            <w:rFonts w:ascii="TimesNewRoman" w:eastAsia="TimesNewRoman" w:hAnsi="TimesNewRoman" w:cs="TimesNewRoman"/>
          </w:rPr>
          <w:t>2.1.1. Opis specifičnega cilja</w:t>
        </w:r>
        <w:r>
          <w:tab/>
        </w:r>
        <w:r>
          <w:fldChar w:fldCharType="begin"/>
        </w:r>
        <w:r>
          <w:instrText xml:space="preserve"> PAGEREF _Toc256000065 \h </w:instrText>
        </w:r>
        <w:r>
          <w:fldChar w:fldCharType="separate"/>
        </w:r>
        <w:r>
          <w:t>19</w:t>
        </w:r>
        <w:r>
          <w:fldChar w:fldCharType="end"/>
        </w:r>
      </w:hyperlink>
    </w:p>
    <w:p>
      <w:pPr>
        <w:pStyle w:val="TOC3"/>
        <w:tabs>
          <w:tab w:val="right" w:leader="dot" w:pos="10240"/>
        </w:tabs>
        <w:rPr>
          <w:rFonts w:ascii="Calibri" w:hAnsi="Calibri"/>
          <w:noProof/>
          <w:sz w:val="22"/>
        </w:rPr>
      </w:pPr>
      <w:hyperlink w:anchor="_Toc256000066" w:history="1">
        <w:r w:rsidR="00A77B3E">
          <w:rPr>
            <w:rStyle w:val="Hyperlink"/>
            <w:rFonts w:ascii="Times New Roman" w:hAnsi="Times New Roman" w:cs="Times New Roman"/>
          </w:rPr>
          <w:t>2.1.2. Kazalniki</w:t>
        </w:r>
        <w:r>
          <w:tab/>
        </w:r>
        <w:r>
          <w:fldChar w:fldCharType="begin"/>
        </w:r>
        <w:r>
          <w:instrText xml:space="preserve"> PAGEREF _Toc256000066 \h </w:instrText>
        </w:r>
        <w:r>
          <w:fldChar w:fldCharType="separate"/>
        </w:r>
        <w:r>
          <w:t>23</w:t>
        </w:r>
        <w:r>
          <w:fldChar w:fldCharType="end"/>
        </w:r>
      </w:hyperlink>
    </w:p>
    <w:p>
      <w:pPr>
        <w:pStyle w:val="TOC4"/>
        <w:tabs>
          <w:tab w:val="right" w:leader="dot" w:pos="10240"/>
        </w:tabs>
        <w:rPr>
          <w:rFonts w:ascii="Calibri" w:hAnsi="Calibri"/>
          <w:noProof/>
          <w:sz w:val="22"/>
        </w:rPr>
      </w:pPr>
      <w:hyperlink w:anchor="_Toc256000067" w:history="1">
        <w:r w:rsidR="00A77B3E">
          <w:rPr>
            <w:rStyle w:val="Hyperlink"/>
          </w:rPr>
          <w:t>Tabela 1: Kazalniki učinka</w:t>
        </w:r>
        <w:r>
          <w:tab/>
        </w:r>
        <w:r>
          <w:fldChar w:fldCharType="begin"/>
        </w:r>
        <w:r>
          <w:instrText xml:space="preserve"> PAGEREF _Toc256000067 \h </w:instrText>
        </w:r>
        <w:r>
          <w:fldChar w:fldCharType="separate"/>
        </w:r>
        <w:r>
          <w:t>23</w:t>
        </w:r>
        <w:r>
          <w:fldChar w:fldCharType="end"/>
        </w:r>
      </w:hyperlink>
    </w:p>
    <w:p>
      <w:pPr>
        <w:pStyle w:val="TOC4"/>
        <w:tabs>
          <w:tab w:val="right" w:leader="dot" w:pos="10240"/>
        </w:tabs>
        <w:rPr>
          <w:rFonts w:ascii="Calibri" w:hAnsi="Calibri"/>
          <w:noProof/>
          <w:sz w:val="22"/>
        </w:rPr>
      </w:pPr>
      <w:hyperlink w:anchor="_Toc256000068" w:history="1">
        <w:r w:rsidR="00A77B3E">
          <w:rPr>
            <w:rStyle w:val="Hyperlink"/>
          </w:rPr>
          <w:t>Tabela 2: Kazalniki rezultatov</w:t>
        </w:r>
        <w:r>
          <w:tab/>
        </w:r>
        <w:r>
          <w:fldChar w:fldCharType="begin"/>
        </w:r>
        <w:r>
          <w:instrText xml:space="preserve"> PAGEREF _Toc256000068 \h </w:instrText>
        </w:r>
        <w:r>
          <w:fldChar w:fldCharType="separate"/>
        </w:r>
        <w:r>
          <w:t>24</w:t>
        </w:r>
        <w:r>
          <w:fldChar w:fldCharType="end"/>
        </w:r>
      </w:hyperlink>
    </w:p>
    <w:p>
      <w:pPr>
        <w:pStyle w:val="TOC3"/>
        <w:tabs>
          <w:tab w:val="right" w:leader="dot" w:pos="10240"/>
        </w:tabs>
        <w:rPr>
          <w:rFonts w:ascii="Calibri" w:hAnsi="Calibri"/>
          <w:noProof/>
          <w:sz w:val="22"/>
        </w:rPr>
      </w:pPr>
      <w:hyperlink w:anchor="_Toc256000069" w:history="1">
        <w:r w:rsidR="00A77B3E">
          <w:rPr>
            <w:rStyle w:val="Hyperlink"/>
            <w:rFonts w:ascii="Times New Roman" w:hAnsi="Times New Roman" w:cs="Times New Roman"/>
          </w:rPr>
          <w:t>2.1.3. Okvirna razčlenitev programskih sredstev (EU) po vrsti ukrepa</w:t>
        </w:r>
        <w:r>
          <w:tab/>
        </w:r>
        <w:r>
          <w:fldChar w:fldCharType="begin"/>
        </w:r>
        <w:r>
          <w:instrText xml:space="preserve"> PAGEREF _Toc256000069 \h </w:instrText>
        </w:r>
        <w:r>
          <w:fldChar w:fldCharType="separate"/>
        </w:r>
        <w:r>
          <w:t>27</w:t>
        </w:r>
        <w:r>
          <w:fldChar w:fldCharType="end"/>
        </w:r>
      </w:hyperlink>
    </w:p>
    <w:p>
      <w:pPr>
        <w:pStyle w:val="TOC4"/>
        <w:tabs>
          <w:tab w:val="right" w:leader="dot" w:pos="10240"/>
        </w:tabs>
        <w:rPr>
          <w:rFonts w:ascii="Calibri" w:hAnsi="Calibri"/>
          <w:noProof/>
          <w:sz w:val="22"/>
        </w:rPr>
      </w:pPr>
      <w:hyperlink w:anchor="_Toc256000070" w:history="1">
        <w:r w:rsidR="00A77B3E">
          <w:rPr>
            <w:rStyle w:val="Hyperlink"/>
          </w:rPr>
          <w:t>Tabela 3: Okvirna razčlenitev</w:t>
        </w:r>
        <w:r>
          <w:tab/>
        </w:r>
        <w:r>
          <w:fldChar w:fldCharType="begin"/>
        </w:r>
        <w:r>
          <w:instrText xml:space="preserve"> PAGEREF _Toc256000070 \h </w:instrText>
        </w:r>
        <w:r>
          <w:fldChar w:fldCharType="separate"/>
        </w:r>
        <w:r>
          <w:t>27</w:t>
        </w:r>
        <w:r>
          <w:fldChar w:fldCharType="end"/>
        </w:r>
      </w:hyperlink>
    </w:p>
    <w:p>
      <w:pPr>
        <w:pStyle w:val="TOC2"/>
        <w:tabs>
          <w:tab w:val="right" w:leader="dot" w:pos="10240"/>
        </w:tabs>
        <w:rPr>
          <w:rFonts w:ascii="Calibri" w:hAnsi="Calibri"/>
          <w:noProof/>
          <w:sz w:val="22"/>
        </w:rPr>
      </w:pPr>
      <w:hyperlink w:anchor="_Toc256000071" w:history="1">
        <w:r w:rsidR="00A77B3E">
          <w:rPr>
            <w:rStyle w:val="Hyperlink"/>
            <w:rFonts w:ascii="TimesNewRoman" w:eastAsia="TimesNewRoman" w:hAnsi="TimesNewRoman" w:cs="TimesNewRoman"/>
          </w:rPr>
          <w:t>2.1. Specifični cilj: 3. Preprečevanje kriminala in boj proti njemu</w:t>
        </w:r>
        <w:r>
          <w:tab/>
        </w:r>
        <w:r>
          <w:fldChar w:fldCharType="begin"/>
        </w:r>
        <w:r>
          <w:instrText xml:space="preserve"> PAGEREF _Toc256000071 \h </w:instrText>
        </w:r>
        <w:r>
          <w:fldChar w:fldCharType="separate"/>
        </w:r>
        <w:r>
          <w:t>28</w:t>
        </w:r>
        <w:r>
          <w:fldChar w:fldCharType="end"/>
        </w:r>
      </w:hyperlink>
    </w:p>
    <w:p>
      <w:pPr>
        <w:pStyle w:val="TOC3"/>
        <w:tabs>
          <w:tab w:val="right" w:leader="dot" w:pos="10240"/>
        </w:tabs>
        <w:rPr>
          <w:rFonts w:ascii="Calibri" w:hAnsi="Calibri"/>
          <w:noProof/>
          <w:sz w:val="22"/>
        </w:rPr>
      </w:pPr>
      <w:hyperlink w:anchor="_Toc256000072" w:history="1">
        <w:r w:rsidR="00A77B3E">
          <w:rPr>
            <w:rStyle w:val="Hyperlink"/>
            <w:rFonts w:ascii="TimesNewRoman" w:eastAsia="TimesNewRoman" w:hAnsi="TimesNewRoman" w:cs="TimesNewRoman"/>
          </w:rPr>
          <w:t>2.1.1. Opis specifičnega cilja</w:t>
        </w:r>
        <w:r>
          <w:tab/>
        </w:r>
        <w:r>
          <w:fldChar w:fldCharType="begin"/>
        </w:r>
        <w:r>
          <w:instrText xml:space="preserve"> PAGEREF _Toc256000072 \h </w:instrText>
        </w:r>
        <w:r>
          <w:fldChar w:fldCharType="separate"/>
        </w:r>
        <w:r>
          <w:t>28</w:t>
        </w:r>
        <w:r>
          <w:fldChar w:fldCharType="end"/>
        </w:r>
      </w:hyperlink>
    </w:p>
    <w:p>
      <w:pPr>
        <w:pStyle w:val="TOC3"/>
        <w:tabs>
          <w:tab w:val="right" w:leader="dot" w:pos="10240"/>
        </w:tabs>
        <w:rPr>
          <w:rFonts w:ascii="Calibri" w:hAnsi="Calibri"/>
          <w:noProof/>
          <w:sz w:val="22"/>
        </w:rPr>
      </w:pPr>
      <w:hyperlink w:anchor="_Toc256000073" w:history="1">
        <w:r w:rsidR="00A77B3E">
          <w:rPr>
            <w:rStyle w:val="Hyperlink"/>
            <w:rFonts w:ascii="Times New Roman" w:hAnsi="Times New Roman" w:cs="Times New Roman"/>
          </w:rPr>
          <w:t>2.1.2. Kazalniki</w:t>
        </w:r>
        <w:r>
          <w:tab/>
        </w:r>
        <w:r>
          <w:fldChar w:fldCharType="begin"/>
        </w:r>
        <w:r>
          <w:instrText xml:space="preserve"> PAGEREF _Toc256000073 \h </w:instrText>
        </w:r>
        <w:r>
          <w:fldChar w:fldCharType="separate"/>
        </w:r>
        <w:r>
          <w:t>36</w:t>
        </w:r>
        <w:r>
          <w:fldChar w:fldCharType="end"/>
        </w:r>
      </w:hyperlink>
    </w:p>
    <w:p>
      <w:pPr>
        <w:pStyle w:val="TOC4"/>
        <w:tabs>
          <w:tab w:val="right" w:leader="dot" w:pos="10240"/>
        </w:tabs>
        <w:rPr>
          <w:rFonts w:ascii="Calibri" w:hAnsi="Calibri"/>
          <w:noProof/>
          <w:sz w:val="22"/>
        </w:rPr>
      </w:pPr>
      <w:hyperlink w:anchor="_Toc256000074" w:history="1">
        <w:r w:rsidR="00A77B3E">
          <w:rPr>
            <w:rStyle w:val="Hyperlink"/>
          </w:rPr>
          <w:t>Tabela 1: Kazalniki učinka</w:t>
        </w:r>
        <w:r>
          <w:tab/>
        </w:r>
        <w:r>
          <w:fldChar w:fldCharType="begin"/>
        </w:r>
        <w:r>
          <w:instrText xml:space="preserve"> PAGEREF _Toc256000074 \h </w:instrText>
        </w:r>
        <w:r>
          <w:fldChar w:fldCharType="separate"/>
        </w:r>
        <w:r>
          <w:t>36</w:t>
        </w:r>
        <w:r>
          <w:fldChar w:fldCharType="end"/>
        </w:r>
      </w:hyperlink>
    </w:p>
    <w:p>
      <w:pPr>
        <w:pStyle w:val="TOC4"/>
        <w:tabs>
          <w:tab w:val="right" w:leader="dot" w:pos="10240"/>
        </w:tabs>
        <w:rPr>
          <w:rFonts w:ascii="Calibri" w:hAnsi="Calibri"/>
          <w:noProof/>
          <w:sz w:val="22"/>
        </w:rPr>
      </w:pPr>
      <w:hyperlink w:anchor="_Toc256000075" w:history="1">
        <w:r w:rsidR="00A77B3E">
          <w:rPr>
            <w:rStyle w:val="Hyperlink"/>
          </w:rPr>
          <w:t>Tabela 2: Kazalniki rezultatov</w:t>
        </w:r>
        <w:r>
          <w:tab/>
        </w:r>
        <w:r>
          <w:fldChar w:fldCharType="begin"/>
        </w:r>
        <w:r>
          <w:instrText xml:space="preserve"> PAGEREF _Toc256000075 \h </w:instrText>
        </w:r>
        <w:r>
          <w:fldChar w:fldCharType="separate"/>
        </w:r>
        <w:r>
          <w:t>37</w:t>
        </w:r>
        <w:r>
          <w:fldChar w:fldCharType="end"/>
        </w:r>
      </w:hyperlink>
    </w:p>
    <w:p>
      <w:pPr>
        <w:pStyle w:val="TOC3"/>
        <w:tabs>
          <w:tab w:val="right" w:leader="dot" w:pos="10240"/>
        </w:tabs>
        <w:rPr>
          <w:rFonts w:ascii="Calibri" w:hAnsi="Calibri"/>
          <w:noProof/>
          <w:sz w:val="22"/>
        </w:rPr>
      </w:pPr>
      <w:hyperlink w:anchor="_Toc256000076" w:history="1">
        <w:r w:rsidR="00A77B3E">
          <w:rPr>
            <w:rStyle w:val="Hyperlink"/>
            <w:rFonts w:ascii="Times New Roman" w:hAnsi="Times New Roman" w:cs="Times New Roman"/>
          </w:rPr>
          <w:t>2.1.3. Okvirna razčlenitev programskih sredstev (EU) po vrsti ukrepa</w:t>
        </w:r>
        <w:r>
          <w:tab/>
        </w:r>
        <w:r>
          <w:fldChar w:fldCharType="begin"/>
        </w:r>
        <w:r>
          <w:instrText xml:space="preserve"> PAGEREF _Toc256000076 \h </w:instrText>
        </w:r>
        <w:r>
          <w:fldChar w:fldCharType="separate"/>
        </w:r>
        <w:r>
          <w:t>39</w:t>
        </w:r>
        <w:r>
          <w:fldChar w:fldCharType="end"/>
        </w:r>
      </w:hyperlink>
    </w:p>
    <w:p>
      <w:pPr>
        <w:pStyle w:val="TOC4"/>
        <w:tabs>
          <w:tab w:val="right" w:leader="dot" w:pos="10240"/>
        </w:tabs>
        <w:rPr>
          <w:rFonts w:ascii="Calibri" w:hAnsi="Calibri"/>
          <w:noProof/>
          <w:sz w:val="22"/>
        </w:rPr>
      </w:pPr>
      <w:hyperlink w:anchor="_Toc256000077" w:history="1">
        <w:r w:rsidR="00A77B3E">
          <w:rPr>
            <w:rStyle w:val="Hyperlink"/>
          </w:rPr>
          <w:t>Tabela 3: Okvirna razčlenitev</w:t>
        </w:r>
        <w:r>
          <w:tab/>
        </w:r>
        <w:r>
          <w:fldChar w:fldCharType="begin"/>
        </w:r>
        <w:r>
          <w:instrText xml:space="preserve"> PAGEREF _Toc256000077 \h </w:instrText>
        </w:r>
        <w:r>
          <w:fldChar w:fldCharType="separate"/>
        </w:r>
        <w:r>
          <w:t>39</w:t>
        </w:r>
        <w:r>
          <w:fldChar w:fldCharType="end"/>
        </w:r>
      </w:hyperlink>
    </w:p>
    <w:p>
      <w:pPr>
        <w:pStyle w:val="TOC2"/>
        <w:tabs>
          <w:tab w:val="right" w:leader="dot" w:pos="10240"/>
        </w:tabs>
        <w:rPr>
          <w:rFonts w:ascii="Calibri" w:hAnsi="Calibri"/>
          <w:noProof/>
          <w:sz w:val="22"/>
        </w:rPr>
      </w:pPr>
      <w:hyperlink w:anchor="_Toc256000078" w:history="1">
        <w:r w:rsidR="00A77B3E">
          <w:rPr>
            <w:rStyle w:val="Hyperlink"/>
            <w:rFonts w:ascii="TimesNewRoman" w:eastAsia="TimesNewRoman" w:hAnsi="TimesNewRoman" w:cs="TimesNewRoman"/>
          </w:rPr>
          <w:t>2.2. Tehnična pomoč: TA.36(5). Tehnična pomoč – pavšalna stopnja (člen 36(5) uredbe o skupnih določbah)</w:t>
        </w:r>
        <w:r>
          <w:tab/>
        </w:r>
        <w:r>
          <w:fldChar w:fldCharType="begin"/>
        </w:r>
        <w:r>
          <w:instrText xml:space="preserve"> PAGEREF _Toc256000078 \h </w:instrText>
        </w:r>
        <w:r>
          <w:fldChar w:fldCharType="separate"/>
        </w:r>
        <w:r>
          <w:t>40</w:t>
        </w:r>
        <w:r>
          <w:fldChar w:fldCharType="end"/>
        </w:r>
      </w:hyperlink>
    </w:p>
    <w:p>
      <w:pPr>
        <w:pStyle w:val="TOC3"/>
        <w:tabs>
          <w:tab w:val="right" w:leader="dot" w:pos="10240"/>
        </w:tabs>
        <w:rPr>
          <w:rFonts w:ascii="Calibri" w:hAnsi="Calibri"/>
          <w:noProof/>
          <w:sz w:val="22"/>
        </w:rPr>
      </w:pPr>
      <w:hyperlink w:anchor="_Toc256000079" w:history="1">
        <w:r w:rsidR="00A77B3E">
          <w:rPr>
            <w:rStyle w:val="Hyperlink"/>
            <w:rFonts w:ascii="TimesNewRoman" w:eastAsia="TimesNewRoman" w:hAnsi="TimesNewRoman" w:cs="TimesNewRoman"/>
          </w:rPr>
          <w:t>2.2.1. Opis</w:t>
        </w:r>
        <w:r>
          <w:tab/>
        </w:r>
        <w:r>
          <w:fldChar w:fldCharType="begin"/>
        </w:r>
        <w:r>
          <w:instrText xml:space="preserve"> PAGEREF _Toc256000079 \h </w:instrText>
        </w:r>
        <w:r>
          <w:fldChar w:fldCharType="separate"/>
        </w:r>
        <w:r>
          <w:t>40</w:t>
        </w:r>
        <w:r>
          <w:fldChar w:fldCharType="end"/>
        </w:r>
      </w:hyperlink>
    </w:p>
    <w:p>
      <w:pPr>
        <w:pStyle w:val="TOC3"/>
        <w:tabs>
          <w:tab w:val="right" w:leader="dot" w:pos="10240"/>
        </w:tabs>
        <w:rPr>
          <w:rFonts w:ascii="Calibri" w:hAnsi="Calibri"/>
          <w:noProof/>
          <w:sz w:val="22"/>
        </w:rPr>
      </w:pPr>
      <w:hyperlink w:anchor="_Toc256000080" w:history="1">
        <w:r w:rsidR="00A77B3E">
          <w:rPr>
            <w:rStyle w:val="Hyperlink"/>
            <w:rFonts w:ascii="Times New Roman" w:hAnsi="Times New Roman" w:cs="Times New Roman"/>
          </w:rPr>
          <w:t>2.2.2. Okvirna razčlenitev tehnične pomoči v skladu s členom 37 uredbe o skupnih določbah</w:t>
        </w:r>
        <w:r>
          <w:tab/>
        </w:r>
        <w:r>
          <w:fldChar w:fldCharType="begin"/>
        </w:r>
        <w:r>
          <w:instrText xml:space="preserve"> PAGEREF _Toc256000080 \h </w:instrText>
        </w:r>
        <w:r>
          <w:fldChar w:fldCharType="separate"/>
        </w:r>
        <w:r>
          <w:t>41</w:t>
        </w:r>
        <w:r>
          <w:fldChar w:fldCharType="end"/>
        </w:r>
      </w:hyperlink>
    </w:p>
    <w:p>
      <w:pPr>
        <w:pStyle w:val="TOC4"/>
        <w:tabs>
          <w:tab w:val="right" w:leader="dot" w:pos="10240"/>
        </w:tabs>
        <w:rPr>
          <w:rFonts w:ascii="Calibri" w:hAnsi="Calibri"/>
          <w:noProof/>
          <w:sz w:val="22"/>
        </w:rPr>
      </w:pPr>
      <w:hyperlink w:anchor="_Toc256000081" w:history="1">
        <w:r w:rsidR="00A77B3E">
          <w:rPr>
            <w:rStyle w:val="Hyperlink"/>
          </w:rPr>
          <w:t>Tabela 4: Okvirna razčlenitev</w:t>
        </w:r>
        <w:r>
          <w:tab/>
        </w:r>
        <w:r>
          <w:fldChar w:fldCharType="begin"/>
        </w:r>
        <w:r>
          <w:instrText xml:space="preserve"> PAGEREF _Toc256000081 \h </w:instrText>
        </w:r>
        <w:r>
          <w:fldChar w:fldCharType="separate"/>
        </w:r>
        <w:r>
          <w:t>41</w:t>
        </w:r>
        <w:r>
          <w:fldChar w:fldCharType="end"/>
        </w:r>
      </w:hyperlink>
    </w:p>
    <w:p>
      <w:pPr>
        <w:pStyle w:val="TOC1"/>
        <w:tabs>
          <w:tab w:val="right" w:leader="dot" w:pos="10240"/>
        </w:tabs>
        <w:rPr>
          <w:rFonts w:ascii="Calibri" w:hAnsi="Calibri"/>
          <w:noProof/>
          <w:sz w:val="22"/>
        </w:rPr>
      </w:pPr>
      <w:hyperlink w:anchor="_Toc256000082" w:history="1">
        <w:r w:rsidR="00A77B3E">
          <w:rPr>
            <w:rStyle w:val="Hyperlink"/>
            <w:rFonts w:ascii="Times New Roman" w:hAnsi="Times New Roman" w:cs="Times New Roman"/>
          </w:rPr>
          <w:t>3. Načrt financiranja</w:t>
        </w:r>
        <w:r>
          <w:tab/>
        </w:r>
        <w:r>
          <w:fldChar w:fldCharType="begin"/>
        </w:r>
        <w:r>
          <w:instrText xml:space="preserve"> PAGEREF _Toc256000082 \h </w:instrText>
        </w:r>
        <w:r>
          <w:fldChar w:fldCharType="separate"/>
        </w:r>
        <w:r>
          <w:t>42</w:t>
        </w:r>
        <w:r>
          <w:fldChar w:fldCharType="end"/>
        </w:r>
      </w:hyperlink>
    </w:p>
    <w:p>
      <w:pPr>
        <w:pStyle w:val="TOC2"/>
        <w:tabs>
          <w:tab w:val="right" w:leader="dot" w:pos="10240"/>
        </w:tabs>
        <w:rPr>
          <w:rFonts w:ascii="Calibri" w:hAnsi="Calibri"/>
          <w:noProof/>
          <w:sz w:val="22"/>
        </w:rPr>
      </w:pPr>
      <w:hyperlink w:anchor="_Toc256000083" w:history="1">
        <w:r w:rsidR="00A77B3E">
          <w:rPr>
            <w:rStyle w:val="Hyperlink"/>
            <w:rFonts w:ascii="TimesNewRoman" w:eastAsia="TimesNewRoman" w:hAnsi="TimesNewRoman" w:cs="TimesNewRoman"/>
          </w:rPr>
          <w:t>3.1. Finančna sredstva po letih</w:t>
        </w:r>
        <w:r>
          <w:tab/>
        </w:r>
        <w:r>
          <w:fldChar w:fldCharType="begin"/>
        </w:r>
        <w:r>
          <w:instrText xml:space="preserve"> PAGEREF _Toc256000083 \h </w:instrText>
        </w:r>
        <w:r>
          <w:fldChar w:fldCharType="separate"/>
        </w:r>
        <w:r>
          <w:t>42</w:t>
        </w:r>
        <w:r>
          <w:fldChar w:fldCharType="end"/>
        </w:r>
      </w:hyperlink>
    </w:p>
    <w:p>
      <w:pPr>
        <w:pStyle w:val="TOC4"/>
        <w:tabs>
          <w:tab w:val="right" w:leader="dot" w:pos="10240"/>
        </w:tabs>
        <w:rPr>
          <w:rFonts w:ascii="Calibri" w:hAnsi="Calibri"/>
          <w:noProof/>
          <w:sz w:val="22"/>
        </w:rPr>
      </w:pPr>
      <w:hyperlink w:anchor="_Toc256000084" w:history="1">
        <w:r w:rsidR="00A77B3E">
          <w:rPr>
            <w:rStyle w:val="Hyperlink"/>
            <w:rFonts w:ascii="TimesNewRoman" w:eastAsia="TimesNewRoman" w:hAnsi="TimesNewRoman" w:cs="TimesNewRoman"/>
          </w:rPr>
          <w:t>Tabela 5: Finančna sredstva po letih</w:t>
        </w:r>
        <w:r>
          <w:tab/>
        </w:r>
        <w:r>
          <w:fldChar w:fldCharType="begin"/>
        </w:r>
        <w:r>
          <w:instrText xml:space="preserve"> PAGEREF _Toc256000084 \h </w:instrText>
        </w:r>
        <w:r>
          <w:fldChar w:fldCharType="separate"/>
        </w:r>
        <w:r>
          <w:t>42</w:t>
        </w:r>
        <w:r>
          <w:fldChar w:fldCharType="end"/>
        </w:r>
      </w:hyperlink>
    </w:p>
    <w:p>
      <w:pPr>
        <w:pStyle w:val="TOC2"/>
        <w:tabs>
          <w:tab w:val="right" w:leader="dot" w:pos="10240"/>
        </w:tabs>
        <w:rPr>
          <w:rFonts w:ascii="Calibri" w:hAnsi="Calibri"/>
          <w:noProof/>
          <w:sz w:val="22"/>
        </w:rPr>
      </w:pPr>
      <w:hyperlink w:anchor="_Toc256000085" w:history="1">
        <w:r w:rsidR="00A77B3E">
          <w:rPr>
            <w:rStyle w:val="Hyperlink"/>
            <w:rFonts w:ascii="TimesNewRoman" w:eastAsia="TimesNewRoman" w:hAnsi="TimesNewRoman" w:cs="TimesNewRoman"/>
          </w:rPr>
          <w:t>3.2. Skupna dodelitev finančnih sredstev</w:t>
        </w:r>
        <w:r>
          <w:tab/>
        </w:r>
        <w:r>
          <w:fldChar w:fldCharType="begin"/>
        </w:r>
        <w:r>
          <w:instrText xml:space="preserve"> PAGEREF _Toc256000085 \h </w:instrText>
        </w:r>
        <w:r>
          <w:fldChar w:fldCharType="separate"/>
        </w:r>
        <w:r>
          <w:t>43</w:t>
        </w:r>
        <w:r>
          <w:fldChar w:fldCharType="end"/>
        </w:r>
      </w:hyperlink>
    </w:p>
    <w:p>
      <w:pPr>
        <w:pStyle w:val="TOC4"/>
        <w:tabs>
          <w:tab w:val="right" w:leader="dot" w:pos="10240"/>
        </w:tabs>
        <w:rPr>
          <w:rFonts w:ascii="Calibri" w:hAnsi="Calibri"/>
          <w:noProof/>
          <w:sz w:val="22"/>
        </w:rPr>
      </w:pPr>
      <w:hyperlink w:anchor="_Toc256000086" w:history="1">
        <w:r w:rsidR="00A77B3E">
          <w:rPr>
            <w:rStyle w:val="Hyperlink"/>
            <w:rFonts w:ascii="TimesNewRoman" w:eastAsia="TimesNewRoman" w:hAnsi="TimesNewRoman" w:cs="TimesNewRoman"/>
          </w:rPr>
          <w:t>Tabela 6: Skupna dodelitev finančnih sredstev po skladih in nacionalni prispevek</w:t>
        </w:r>
        <w:r>
          <w:tab/>
        </w:r>
        <w:r>
          <w:fldChar w:fldCharType="begin"/>
        </w:r>
        <w:r>
          <w:instrText xml:space="preserve"> PAGEREF _Toc256000086 \h </w:instrText>
        </w:r>
        <w:r>
          <w:fldChar w:fldCharType="separate"/>
        </w:r>
        <w:r>
          <w:t>43</w:t>
        </w:r>
        <w:r>
          <w:fldChar w:fldCharType="end"/>
        </w:r>
      </w:hyperlink>
    </w:p>
    <w:p>
      <w:pPr>
        <w:pStyle w:val="TOC2"/>
        <w:tabs>
          <w:tab w:val="right" w:leader="dot" w:pos="10240"/>
        </w:tabs>
        <w:rPr>
          <w:rFonts w:ascii="Calibri" w:hAnsi="Calibri"/>
          <w:noProof/>
          <w:sz w:val="22"/>
        </w:rPr>
      </w:pPr>
      <w:hyperlink w:anchor="_Toc256000087" w:history="1">
        <w:r w:rsidR="00A77B3E">
          <w:rPr>
            <w:rStyle w:val="Hyperlink"/>
            <w:rFonts w:ascii="TimesNewRoman" w:eastAsia="TimesNewRoman" w:hAnsi="TimesNewRoman" w:cs="TimesNewRoman"/>
          </w:rPr>
          <w:t>3.3. Prerazporeditve</w:t>
        </w:r>
        <w:r>
          <w:tab/>
        </w:r>
        <w:r>
          <w:fldChar w:fldCharType="begin"/>
        </w:r>
        <w:r>
          <w:instrText xml:space="preserve"> PAGEREF _Toc256000087 \h </w:instrText>
        </w:r>
        <w:r>
          <w:fldChar w:fldCharType="separate"/>
        </w:r>
        <w:r>
          <w:t>44</w:t>
        </w:r>
        <w:r>
          <w:fldChar w:fldCharType="end"/>
        </w:r>
      </w:hyperlink>
    </w:p>
    <w:p>
      <w:pPr>
        <w:pStyle w:val="TOC1"/>
        <w:tabs>
          <w:tab w:val="right" w:leader="dot" w:pos="10240"/>
        </w:tabs>
        <w:rPr>
          <w:rFonts w:ascii="Calibri" w:hAnsi="Calibri"/>
          <w:noProof/>
          <w:sz w:val="22"/>
        </w:rPr>
      </w:pPr>
      <w:hyperlink w:anchor="_Toc256000088" w:history="1">
        <w:r w:rsidR="00A77B3E">
          <w:rPr>
            <w:rStyle w:val="Hyperlink"/>
            <w:rFonts w:ascii="Times New Roman" w:hAnsi="Times New Roman" w:cs="Times New Roman"/>
          </w:rPr>
          <w:t>4. Omogočitveni pogoji</w:t>
        </w:r>
        <w:r>
          <w:tab/>
        </w:r>
        <w:r>
          <w:fldChar w:fldCharType="begin"/>
        </w:r>
        <w:r>
          <w:instrText xml:space="preserve"> PAGEREF _Toc256000088 \h </w:instrText>
        </w:r>
        <w:r>
          <w:fldChar w:fldCharType="separate"/>
        </w:r>
        <w:r>
          <w:t>46</w:t>
        </w:r>
        <w:r>
          <w:fldChar w:fldCharType="end"/>
        </w:r>
      </w:hyperlink>
    </w:p>
    <w:p>
      <w:pPr>
        <w:pStyle w:val="TOC2"/>
        <w:tabs>
          <w:tab w:val="right" w:leader="dot" w:pos="10240"/>
        </w:tabs>
        <w:rPr>
          <w:rFonts w:ascii="Calibri" w:hAnsi="Calibri"/>
          <w:noProof/>
          <w:sz w:val="22"/>
        </w:rPr>
      </w:pPr>
      <w:hyperlink w:anchor="_Toc256000089" w:history="1">
        <w:r w:rsidR="00A77B3E">
          <w:rPr>
            <w:rStyle w:val="Hyperlink"/>
            <w:rFonts w:ascii="Times New Roman" w:hAnsi="Times New Roman" w:cs="Times New Roman"/>
          </w:rPr>
          <w:t>Tabela 9: Horizontalni omogočitveni pogoji</w:t>
        </w:r>
        <w:r>
          <w:tab/>
        </w:r>
        <w:r>
          <w:fldChar w:fldCharType="begin"/>
        </w:r>
        <w:r>
          <w:instrText xml:space="preserve"> PAGEREF _Toc256000089 \h </w:instrText>
        </w:r>
        <w:r>
          <w:fldChar w:fldCharType="separate"/>
        </w:r>
        <w:r>
          <w:t>46</w:t>
        </w:r>
        <w:r>
          <w:fldChar w:fldCharType="end"/>
        </w:r>
      </w:hyperlink>
    </w:p>
    <w:p>
      <w:pPr>
        <w:pStyle w:val="TOC1"/>
        <w:tabs>
          <w:tab w:val="right" w:leader="dot" w:pos="10240"/>
        </w:tabs>
        <w:rPr>
          <w:rFonts w:ascii="Calibri" w:hAnsi="Calibri"/>
          <w:noProof/>
          <w:sz w:val="22"/>
        </w:rPr>
      </w:pPr>
      <w:hyperlink w:anchor="_Toc256000090" w:history="1">
        <w:r w:rsidR="00A77B3E">
          <w:rPr>
            <w:rStyle w:val="Hyperlink"/>
            <w:rFonts w:ascii="Times New Roman" w:hAnsi="Times New Roman" w:cs="Times New Roman"/>
          </w:rPr>
          <w:t>5. Organi, pristojni za program</w:t>
        </w:r>
        <w:r>
          <w:tab/>
        </w:r>
        <w:r>
          <w:fldChar w:fldCharType="begin"/>
        </w:r>
        <w:r>
          <w:instrText xml:space="preserve"> PAGEREF _Toc256000090 \h </w:instrText>
        </w:r>
        <w:r>
          <w:fldChar w:fldCharType="separate"/>
        </w:r>
        <w:r>
          <w:t>54</w:t>
        </w:r>
        <w:r>
          <w:fldChar w:fldCharType="end"/>
        </w:r>
      </w:hyperlink>
    </w:p>
    <w:p>
      <w:pPr>
        <w:pStyle w:val="TOC2"/>
        <w:tabs>
          <w:tab w:val="right" w:leader="dot" w:pos="10240"/>
        </w:tabs>
        <w:rPr>
          <w:rFonts w:ascii="Calibri" w:hAnsi="Calibri"/>
          <w:noProof/>
          <w:sz w:val="22"/>
        </w:rPr>
      </w:pPr>
      <w:hyperlink w:anchor="_Toc256000091" w:history="1">
        <w:r w:rsidR="00A77B3E">
          <w:rPr>
            <w:rStyle w:val="Hyperlink"/>
            <w:rFonts w:ascii="Times New Roman" w:hAnsi="Times New Roman" w:cs="Times New Roman"/>
          </w:rPr>
          <w:t>Tabela 10: Organi, pristojni za program</w:t>
        </w:r>
        <w:r>
          <w:tab/>
        </w:r>
        <w:r>
          <w:fldChar w:fldCharType="begin"/>
        </w:r>
        <w:r>
          <w:instrText xml:space="preserve"> PAGEREF _Toc256000091 \h </w:instrText>
        </w:r>
        <w:r>
          <w:fldChar w:fldCharType="separate"/>
        </w:r>
        <w:r>
          <w:t>54</w:t>
        </w:r>
        <w:r>
          <w:fldChar w:fldCharType="end"/>
        </w:r>
      </w:hyperlink>
    </w:p>
    <w:p>
      <w:pPr>
        <w:pStyle w:val="TOC1"/>
        <w:tabs>
          <w:tab w:val="right" w:leader="dot" w:pos="10240"/>
        </w:tabs>
        <w:rPr>
          <w:rFonts w:ascii="Calibri" w:hAnsi="Calibri"/>
          <w:noProof/>
          <w:sz w:val="22"/>
        </w:rPr>
      </w:pPr>
      <w:hyperlink w:anchor="_Toc256000092" w:history="1">
        <w:r w:rsidR="00A77B3E">
          <w:rPr>
            <w:rStyle w:val="Hyperlink"/>
            <w:rFonts w:ascii="Times New Roman" w:hAnsi="Times New Roman" w:cs="Times New Roman"/>
          </w:rPr>
          <w:t>6. Partnerstvo</w:t>
        </w:r>
        <w:r>
          <w:tab/>
        </w:r>
        <w:r>
          <w:fldChar w:fldCharType="begin"/>
        </w:r>
        <w:r>
          <w:instrText xml:space="preserve"> PAGEREF _Toc256000092 \h </w:instrText>
        </w:r>
        <w:r>
          <w:fldChar w:fldCharType="separate"/>
        </w:r>
        <w:r>
          <w:t>55</w:t>
        </w:r>
        <w:r>
          <w:fldChar w:fldCharType="end"/>
        </w:r>
      </w:hyperlink>
    </w:p>
    <w:p>
      <w:pPr>
        <w:pStyle w:val="TOC1"/>
        <w:tabs>
          <w:tab w:val="right" w:leader="dot" w:pos="10240"/>
        </w:tabs>
        <w:rPr>
          <w:rFonts w:ascii="Calibri" w:hAnsi="Calibri"/>
          <w:noProof/>
          <w:sz w:val="22"/>
        </w:rPr>
      </w:pPr>
      <w:hyperlink w:anchor="_Toc256000093" w:history="1">
        <w:r w:rsidR="00A77B3E">
          <w:rPr>
            <w:rStyle w:val="Hyperlink"/>
            <w:rFonts w:ascii="Times New Roman" w:hAnsi="Times New Roman" w:cs="Times New Roman"/>
          </w:rPr>
          <w:t>7. Komuniciranje in prepoznavnost</w:t>
        </w:r>
        <w:r>
          <w:tab/>
        </w:r>
        <w:r>
          <w:fldChar w:fldCharType="begin"/>
        </w:r>
        <w:r>
          <w:instrText xml:space="preserve"> PAGEREF _Toc256000093 \h </w:instrText>
        </w:r>
        <w:r>
          <w:fldChar w:fldCharType="separate"/>
        </w:r>
        <w:r>
          <w:t>58</w:t>
        </w:r>
        <w:r>
          <w:fldChar w:fldCharType="end"/>
        </w:r>
      </w:hyperlink>
    </w:p>
    <w:p>
      <w:pPr>
        <w:pStyle w:val="TOC1"/>
        <w:tabs>
          <w:tab w:val="right" w:leader="dot" w:pos="10240"/>
        </w:tabs>
        <w:rPr>
          <w:rFonts w:ascii="Calibri" w:hAnsi="Calibri"/>
          <w:noProof/>
          <w:sz w:val="22"/>
        </w:rPr>
      </w:pPr>
      <w:hyperlink w:anchor="_Toc256000094" w:history="1">
        <w:r w:rsidR="00A77B3E">
          <w:rPr>
            <w:rStyle w:val="Hyperlink"/>
            <w:rFonts w:ascii="Times New Roman" w:hAnsi="Times New Roman" w:cs="Times New Roman"/>
          </w:rPr>
          <w:t>8. Uporaba stroškov na enoto, pavšalnih zneskov, pavšalnih stopenj in financiranja, ki ni povezano s stroški</w:t>
        </w:r>
        <w:r>
          <w:tab/>
        </w:r>
        <w:r>
          <w:fldChar w:fldCharType="begin"/>
        </w:r>
        <w:r>
          <w:instrText xml:space="preserve"> PAGEREF _Toc256000094 \h </w:instrText>
        </w:r>
        <w:r>
          <w:fldChar w:fldCharType="separate"/>
        </w:r>
        <w:r>
          <w:t>60</w:t>
        </w:r>
        <w:r>
          <w:fldChar w:fldCharType="end"/>
        </w:r>
      </w:hyperlink>
    </w:p>
    <w:p>
      <w:pPr>
        <w:pStyle w:val="TOC1"/>
        <w:tabs>
          <w:tab w:val="right" w:leader="dot" w:pos="10240"/>
        </w:tabs>
        <w:rPr>
          <w:rFonts w:ascii="Calibri" w:hAnsi="Calibri"/>
          <w:noProof/>
          <w:sz w:val="22"/>
        </w:rPr>
      </w:pPr>
      <w:hyperlink w:anchor="_Toc256000095" w:history="1">
        <w:r w:rsidR="00A77B3E">
          <w:rPr>
            <w:rStyle w:val="Hyperlink"/>
            <w:rFonts w:ascii="Times New Roman" w:hAnsi="Times New Roman" w:cs="Times New Roman"/>
          </w:rPr>
          <w:t>Dodatek 1: Prispevek Unije na podlagi stroškov na enoto, pavšalnih zneskov in pavšalnih stopenj</w:t>
        </w:r>
        <w:r>
          <w:tab/>
        </w:r>
        <w:r>
          <w:fldChar w:fldCharType="begin"/>
        </w:r>
        <w:r>
          <w:instrText xml:space="preserve"> PAGEREF _Toc256000095 \h </w:instrText>
        </w:r>
        <w:r>
          <w:fldChar w:fldCharType="separate"/>
        </w:r>
        <w:r>
          <w:t>61</w:t>
        </w:r>
        <w:r>
          <w:fldChar w:fldCharType="end"/>
        </w:r>
      </w:hyperlink>
    </w:p>
    <w:p>
      <w:pPr>
        <w:pStyle w:val="TOC2"/>
        <w:tabs>
          <w:tab w:val="right" w:leader="dot" w:pos="10240"/>
        </w:tabs>
        <w:rPr>
          <w:rFonts w:ascii="Calibri" w:hAnsi="Calibri"/>
          <w:noProof/>
          <w:sz w:val="22"/>
        </w:rPr>
      </w:pPr>
      <w:hyperlink w:anchor="_Toc256000096" w:history="1">
        <w:r w:rsidR="00A77B3E">
          <w:rPr>
            <w:rStyle w:val="Hyperlink"/>
            <w:rFonts w:ascii="Times New Roman" w:hAnsi="Times New Roman" w:cs="Times New Roman"/>
          </w:rPr>
          <w:t>A. Povzetek glavnih elementov</w:t>
        </w:r>
        <w:r>
          <w:tab/>
        </w:r>
        <w:r>
          <w:fldChar w:fldCharType="begin"/>
        </w:r>
        <w:r>
          <w:instrText xml:space="preserve"> PAGEREF _Toc256000096 \h </w:instrText>
        </w:r>
        <w:r>
          <w:fldChar w:fldCharType="separate"/>
        </w:r>
        <w:r>
          <w:t>61</w:t>
        </w:r>
        <w:r>
          <w:fldChar w:fldCharType="end"/>
        </w:r>
      </w:hyperlink>
    </w:p>
    <w:p>
      <w:pPr>
        <w:pStyle w:val="TOC2"/>
        <w:tabs>
          <w:tab w:val="right" w:leader="dot" w:pos="10240"/>
        </w:tabs>
        <w:rPr>
          <w:rFonts w:ascii="Calibri" w:hAnsi="Calibri"/>
          <w:noProof/>
          <w:sz w:val="22"/>
        </w:rPr>
      </w:pPr>
      <w:hyperlink w:anchor="_Toc256000097" w:history="1">
        <w:r w:rsidR="00A77B3E">
          <w:rPr>
            <w:rStyle w:val="Hyperlink"/>
            <w:rFonts w:ascii="Times New Roman" w:hAnsi="Times New Roman" w:cs="Times New Roman"/>
          </w:rPr>
          <w:t>B. Podrobnosti glede na vrsto operacije</w:t>
        </w:r>
        <w:r>
          <w:tab/>
        </w:r>
        <w:r>
          <w:fldChar w:fldCharType="begin"/>
        </w:r>
        <w:r>
          <w:instrText xml:space="preserve"> PAGEREF _Toc256000097 \h </w:instrText>
        </w:r>
        <w:r>
          <w:fldChar w:fldCharType="separate"/>
        </w:r>
        <w:r>
          <w:t>62</w:t>
        </w:r>
        <w:r>
          <w:fldChar w:fldCharType="end"/>
        </w:r>
      </w:hyperlink>
    </w:p>
    <w:p>
      <w:pPr>
        <w:pStyle w:val="TOC2"/>
        <w:tabs>
          <w:tab w:val="right" w:leader="dot" w:pos="10240"/>
        </w:tabs>
        <w:rPr>
          <w:rFonts w:ascii="Calibri" w:hAnsi="Calibri"/>
          <w:noProof/>
          <w:sz w:val="22"/>
        </w:rPr>
      </w:pPr>
      <w:hyperlink w:anchor="_Toc256000098" w:history="1">
        <w:r w:rsidR="00A77B3E">
          <w:rPr>
            <w:rStyle w:val="Hyperlink"/>
            <w:rFonts w:ascii="TimesNewRoman" w:eastAsia="TimesNewRoman" w:hAnsi="TimesNewRoman" w:cs="TimesNewRoman"/>
          </w:rPr>
          <w:t>C. Izračun standardnih stroškov na enoto, pavšalnih zneskov in pavšalnih stopenj</w:t>
        </w:r>
        <w:r>
          <w:tab/>
        </w:r>
        <w:r>
          <w:fldChar w:fldCharType="begin"/>
        </w:r>
        <w:r>
          <w:instrText xml:space="preserve"> PAGEREF _Toc256000098 \h </w:instrText>
        </w:r>
        <w:r>
          <w:fldChar w:fldCharType="separate"/>
        </w:r>
        <w:r>
          <w:t>63</w:t>
        </w:r>
        <w:r>
          <w:fldChar w:fldCharType="end"/>
        </w:r>
      </w:hyperlink>
    </w:p>
    <w:p>
      <w:pPr>
        <w:pStyle w:val="TOC4"/>
        <w:tabs>
          <w:tab w:val="right" w:leader="dot" w:pos="10240"/>
        </w:tabs>
        <w:rPr>
          <w:rFonts w:ascii="Calibri" w:hAnsi="Calibri"/>
          <w:noProof/>
          <w:sz w:val="22"/>
        </w:rPr>
      </w:pPr>
      <w:hyperlink w:anchor="_Toc256000099" w:history="1">
        <w:r w:rsidR="00A77B3E">
          <w:rPr>
            <w:rStyle w:val="Hyperlink"/>
            <w:rFonts w:ascii="TimesNewRoman" w:eastAsia="TimesNewRoman" w:hAnsi="TimesNewRoman" w:cs="TimesNewRoman"/>
          </w:rPr>
          <w:t>1. Vir podatkov, uporabljenih za izračun standardnih stroškov na enoto, pavšalnih zneskov ali pavšalnih stopenj (kdo je predložil, zbral in evidentiral podatke; kje so podatki shranjeni; presečni datumi; potrjevanje itd.)</w:t>
        </w:r>
        <w:r>
          <w:tab/>
        </w:r>
        <w:r>
          <w:fldChar w:fldCharType="begin"/>
        </w:r>
        <w:r>
          <w:instrText xml:space="preserve"> PAGEREF _Toc256000099 \h </w:instrText>
        </w:r>
        <w:r>
          <w:fldChar w:fldCharType="separate"/>
        </w:r>
        <w:r>
          <w:t>63</w:t>
        </w:r>
        <w:r>
          <w:fldChar w:fldCharType="end"/>
        </w:r>
      </w:hyperlink>
    </w:p>
    <w:p>
      <w:pPr>
        <w:pStyle w:val="TOC4"/>
        <w:tabs>
          <w:tab w:val="right" w:leader="dot" w:pos="10240"/>
        </w:tabs>
        <w:rPr>
          <w:rFonts w:ascii="Calibri" w:hAnsi="Calibri"/>
          <w:noProof/>
          <w:sz w:val="22"/>
        </w:rPr>
      </w:pPr>
      <w:hyperlink w:anchor="_Toc256000100" w:history="1">
        <w:r w:rsidR="00A77B3E">
          <w:rPr>
            <w:rStyle w:val="Hyperlink"/>
          </w:rPr>
          <w:t>2. Navedite, zakaj sta predlagana metoda in izračun na podlagi člena 94(2) uredbe o skupnih določbah relevantna za vrsto operacije.</w:t>
        </w:r>
        <w:r>
          <w:tab/>
        </w:r>
        <w:r>
          <w:fldChar w:fldCharType="begin"/>
        </w:r>
        <w:r>
          <w:instrText xml:space="preserve"> PAGEREF _Toc256000100 \h </w:instrText>
        </w:r>
        <w:r>
          <w:fldChar w:fldCharType="separate"/>
        </w:r>
        <w:r>
          <w:t>64</w:t>
        </w:r>
        <w:r>
          <w:fldChar w:fldCharType="end"/>
        </w:r>
      </w:hyperlink>
    </w:p>
    <w:p>
      <w:pPr>
        <w:pStyle w:val="TOC4"/>
        <w:tabs>
          <w:tab w:val="right" w:leader="dot" w:pos="10240"/>
        </w:tabs>
        <w:rPr>
          <w:rFonts w:ascii="Calibri" w:hAnsi="Calibri"/>
          <w:noProof/>
          <w:sz w:val="22"/>
        </w:rPr>
      </w:pPr>
      <w:hyperlink w:anchor="_Toc256000101" w:history="1">
        <w:r w:rsidR="00A77B3E">
          <w:rPr>
            <w:rStyle w:val="Hyperlink"/>
          </w:rPr>
          <w:t>3. Navedite, kako so bili izračuni narejeni, vključno zlasti s predpostavkami v smislu kakovosti ali količin. Če je to relevantno, je treba uporabiti in na zahtevo predložiti statistične dokaze in referenčne vrednosti v obliki, ki jo lahko uporabi Evropska komisija.</w:t>
        </w:r>
        <w:r>
          <w:tab/>
        </w:r>
        <w:r>
          <w:fldChar w:fldCharType="begin"/>
        </w:r>
        <w:r>
          <w:instrText xml:space="preserve"> PAGEREF _Toc256000101 \h </w:instrText>
        </w:r>
        <w:r>
          <w:fldChar w:fldCharType="separate"/>
        </w:r>
        <w:r>
          <w:t>65</w:t>
        </w:r>
        <w:r>
          <w:fldChar w:fldCharType="end"/>
        </w:r>
      </w:hyperlink>
    </w:p>
    <w:p>
      <w:pPr>
        <w:pStyle w:val="TOC4"/>
        <w:tabs>
          <w:tab w:val="right" w:leader="dot" w:pos="10240"/>
        </w:tabs>
        <w:rPr>
          <w:rFonts w:ascii="Calibri" w:hAnsi="Calibri"/>
          <w:noProof/>
          <w:sz w:val="22"/>
        </w:rPr>
      </w:pPr>
      <w:hyperlink w:anchor="_Toc256000102" w:history="1">
        <w:r w:rsidR="00A77B3E">
          <w:rPr>
            <w:rStyle w:val="Hyperlink"/>
          </w:rPr>
          <w:t>4. Pojasnite, kako ste zagotovili, da so bili v izračun standardnih stroškov na enoto, pavšalnega zneska ali pavšalne stopnje vključeni le upravičeni izdatki.</w:t>
        </w:r>
        <w:r>
          <w:tab/>
        </w:r>
        <w:r>
          <w:fldChar w:fldCharType="begin"/>
        </w:r>
        <w:r>
          <w:instrText xml:space="preserve"> PAGEREF _Toc256000102 \h </w:instrText>
        </w:r>
        <w:r>
          <w:fldChar w:fldCharType="separate"/>
        </w:r>
        <w:r>
          <w:t>66</w:t>
        </w:r>
        <w:r>
          <w:fldChar w:fldCharType="end"/>
        </w:r>
      </w:hyperlink>
    </w:p>
    <w:p>
      <w:pPr>
        <w:pStyle w:val="TOC4"/>
        <w:tabs>
          <w:tab w:val="right" w:leader="dot" w:pos="10240"/>
        </w:tabs>
        <w:rPr>
          <w:rFonts w:ascii="Calibri" w:hAnsi="Calibri"/>
          <w:noProof/>
          <w:sz w:val="22"/>
        </w:rPr>
      </w:pPr>
      <w:hyperlink w:anchor="_Toc256000103" w:history="1">
        <w:r w:rsidR="00A77B3E">
          <w:rPr>
            <w:rStyle w:val="Hyperlink"/>
          </w:rPr>
          <w:t>5. Ocena revizijskega organa v zvezi z metodologijo za izračun in zneski ter ureditvijo za zagotovitev potrjevanja, kakovosti, zbiranja in shranjevanja podatkov.</w:t>
        </w:r>
        <w:r>
          <w:tab/>
        </w:r>
        <w:r>
          <w:fldChar w:fldCharType="begin"/>
        </w:r>
        <w:r>
          <w:instrText xml:space="preserve"> PAGEREF _Toc256000103 \h </w:instrText>
        </w:r>
        <w:r>
          <w:fldChar w:fldCharType="separate"/>
        </w:r>
        <w:r>
          <w:t>67</w:t>
        </w:r>
        <w:r>
          <w:fldChar w:fldCharType="end"/>
        </w:r>
      </w:hyperlink>
    </w:p>
    <w:p>
      <w:pPr>
        <w:pStyle w:val="TOC1"/>
        <w:tabs>
          <w:tab w:val="right" w:leader="dot" w:pos="10240"/>
        </w:tabs>
        <w:rPr>
          <w:rFonts w:ascii="Calibri" w:hAnsi="Calibri"/>
          <w:noProof/>
          <w:sz w:val="22"/>
        </w:rPr>
      </w:pPr>
      <w:hyperlink w:anchor="_Toc256000104" w:history="1">
        <w:r w:rsidR="00A77B3E">
          <w:rPr>
            <w:rStyle w:val="Hyperlink"/>
            <w:rFonts w:ascii="Times New Roman" w:hAnsi="Times New Roman" w:cs="Times New Roman"/>
          </w:rPr>
          <w:t>Dodatek 2: Prispevek Unije, temelječ na financiranju, ki ni povezano s stroški</w:t>
        </w:r>
        <w:r>
          <w:tab/>
        </w:r>
        <w:r>
          <w:fldChar w:fldCharType="begin"/>
        </w:r>
        <w:r>
          <w:instrText xml:space="preserve"> PAGEREF _Toc256000104 \h </w:instrText>
        </w:r>
        <w:r>
          <w:fldChar w:fldCharType="separate"/>
        </w:r>
        <w:r>
          <w:t>68</w:t>
        </w:r>
        <w:r>
          <w:fldChar w:fldCharType="end"/>
        </w:r>
      </w:hyperlink>
    </w:p>
    <w:p>
      <w:pPr>
        <w:pStyle w:val="TOC2"/>
        <w:tabs>
          <w:tab w:val="right" w:leader="dot" w:pos="10240"/>
        </w:tabs>
        <w:rPr>
          <w:rFonts w:ascii="Calibri" w:hAnsi="Calibri"/>
          <w:noProof/>
          <w:sz w:val="22"/>
        </w:rPr>
      </w:pPr>
      <w:hyperlink w:anchor="_Toc256000105" w:history="1">
        <w:r w:rsidR="00A77B3E">
          <w:rPr>
            <w:rStyle w:val="Hyperlink"/>
            <w:rFonts w:ascii="Times New Roman" w:hAnsi="Times New Roman" w:cs="Times New Roman"/>
          </w:rPr>
          <w:t>A. Povzetek glavnih elementov</w:t>
        </w:r>
        <w:r>
          <w:tab/>
        </w:r>
        <w:r>
          <w:fldChar w:fldCharType="begin"/>
        </w:r>
        <w:r>
          <w:instrText xml:space="preserve"> PAGEREF _Toc256000105 \h </w:instrText>
        </w:r>
        <w:r>
          <w:fldChar w:fldCharType="separate"/>
        </w:r>
        <w:r>
          <w:t>68</w:t>
        </w:r>
        <w:r>
          <w:fldChar w:fldCharType="end"/>
        </w:r>
      </w:hyperlink>
    </w:p>
    <w:p>
      <w:pPr>
        <w:pStyle w:val="TOC2"/>
        <w:tabs>
          <w:tab w:val="right" w:leader="dot" w:pos="10240"/>
        </w:tabs>
        <w:rPr>
          <w:rFonts w:ascii="Calibri" w:hAnsi="Calibri"/>
          <w:noProof/>
          <w:sz w:val="22"/>
        </w:rPr>
      </w:pPr>
      <w:hyperlink w:anchor="_Toc256000106" w:history="1">
        <w:r w:rsidR="00A77B3E">
          <w:rPr>
            <w:rStyle w:val="Hyperlink"/>
            <w:rFonts w:ascii="TimesNewRoman" w:eastAsia="TimesNewRoman" w:hAnsi="TimesNewRoman" w:cs="TimesNewRoman"/>
          </w:rPr>
          <w:t>B. Podrobnosti glede na vrsto operacije</w:t>
        </w:r>
        <w:r>
          <w:tab/>
        </w:r>
        <w:r>
          <w:fldChar w:fldCharType="begin"/>
        </w:r>
        <w:r>
          <w:instrText xml:space="preserve"> PAGEREF _Toc256000106 \h </w:instrText>
        </w:r>
        <w:r>
          <w:fldChar w:fldCharType="separate"/>
        </w:r>
        <w:r>
          <w:t>69</w:t>
        </w:r>
        <w:r>
          <w:fldChar w:fldCharType="end"/>
        </w:r>
      </w:hyperlink>
    </w:p>
    <w:p>
      <w:pPr>
        <w:pStyle w:val="TOC1"/>
        <w:tabs>
          <w:tab w:val="right" w:leader="dot" w:pos="10240"/>
        </w:tabs>
        <w:rPr>
          <w:rFonts w:ascii="Calibri" w:hAnsi="Calibri"/>
          <w:noProof/>
          <w:sz w:val="22"/>
        </w:rPr>
      </w:pPr>
      <w:hyperlink w:anchor="_Toc256000107" w:history="1">
        <w:r w:rsidR="00A77B3E">
          <w:rPr>
            <w:rStyle w:val="Hyperlink"/>
            <w:rFonts w:ascii="TimesNewRoman" w:eastAsia="TimesNewRoman" w:hAnsi="TimesNewRoman" w:cs="TimesNewRoman"/>
          </w:rPr>
          <w:t>Dodatek 3</w:t>
        </w:r>
        <w:r>
          <w:tab/>
        </w:r>
        <w:r>
          <w:fldChar w:fldCharType="begin"/>
        </w:r>
        <w:r>
          <w:instrText xml:space="preserve"> PAGEREF _Toc256000107 \h </w:instrText>
        </w:r>
        <w:r>
          <w:fldChar w:fldCharType="separate"/>
        </w:r>
        <w:r>
          <w:t>70</w:t>
        </w:r>
        <w:r>
          <w:fldChar w:fldCharType="end"/>
        </w:r>
      </w:hyperlink>
    </w:p>
    <w:p>
      <w:pPr>
        <w:pStyle w:val="TOC2"/>
        <w:tabs>
          <w:tab w:val="right" w:leader="dot" w:pos="10240"/>
        </w:tabs>
        <w:rPr>
          <w:rFonts w:ascii="Calibri" w:hAnsi="Calibri"/>
          <w:noProof/>
          <w:sz w:val="22"/>
        </w:rPr>
      </w:pPr>
      <w:hyperlink w:anchor="_Toc256000108" w:history="1">
        <w:r w:rsidR="00A77B3E">
          <w:rPr>
            <w:rStyle w:val="Hyperlink"/>
            <w:rFonts w:ascii="TimesNewRoman" w:eastAsia="TimesNewRoman" w:hAnsi="TimesNewRoman" w:cs="TimesNewRoman"/>
          </w:rPr>
          <w:t>Tematski instrument (člen 11 uredbe o AMIF, člen 8 uredbe o IUMV, člen 8 uredbe o SNV)</w:t>
        </w:r>
        <w:r>
          <w:tab/>
        </w:r>
        <w:r>
          <w:fldChar w:fldCharType="begin"/>
        </w:r>
        <w:r>
          <w:instrText xml:space="preserve"> PAGEREF _Toc256000108 \h </w:instrText>
        </w:r>
        <w:r>
          <w:fldChar w:fldCharType="separate"/>
        </w:r>
        <w:r>
          <w:t>70</w:t>
        </w:r>
        <w:r>
          <w:fldChar w:fldCharType="end"/>
        </w:r>
      </w:hyperlink>
    </w:p>
    <w:p>
      <w:pPr>
        <w:pStyle w:val="TOC1"/>
        <w:tabs>
          <w:tab w:val="right" w:leader="dot" w:pos="10240"/>
        </w:tabs>
        <w:rPr>
          <w:rFonts w:ascii="Calibri" w:hAnsi="Calibri"/>
          <w:noProof/>
          <w:sz w:val="22"/>
        </w:rPr>
      </w:pPr>
      <w:hyperlink w:anchor="_Toc256000109" w:history="1">
        <w:r w:rsidR="00A77B3E">
          <w:rPr>
            <w:rStyle w:val="Hyperlink"/>
            <w:rFonts w:ascii="TimesNewRoman" w:eastAsia="TimesNewRoman" w:hAnsi="TimesNewRoman" w:cs="TimesNewRoman"/>
          </w:rPr>
          <w:t>DOKUMENTI</w:t>
        </w:r>
        <w:r>
          <w:tab/>
        </w:r>
        <w:r>
          <w:fldChar w:fldCharType="begin"/>
        </w:r>
        <w:r>
          <w:instrText xml:space="preserve"> PAGEREF _Toc256000109 \h </w:instrText>
        </w:r>
        <w:r>
          <w:fldChar w:fldCharType="separate"/>
        </w:r>
        <w:r>
          <w:t>71</w:t>
        </w:r>
        <w:r>
          <w:fldChar w:fldCharType="end"/>
        </w:r>
      </w:hyperlink>
    </w:p>
    <w:p w:rsidR="00A77B3E">
      <w:pPr>
        <w:pStyle w:val="Heading1"/>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vanish w:val="0"/>
          <w:color w:val="000000"/>
          <w:sz w:val="24"/>
        </w:rPr>
        <w:fldChar w:fldCharType="end"/>
      </w:r>
      <w:r>
        <w:rPr>
          <w:rFonts w:ascii="Times New Roman" w:eastAsia="Times New Roman" w:hAnsi="Times New Roman" w:cs="Times New Roman"/>
          <w:b w:val="0"/>
          <w:vanish w:val="0"/>
          <w:color w:val="000000"/>
          <w:sz w:val="24"/>
        </w:rPr>
        <w:br w:type="page"/>
      </w:r>
      <w:bookmarkStart w:id="0" w:name="_Toc256000055"/>
      <w:r>
        <w:rPr>
          <w:rFonts w:ascii="Times New Roman" w:eastAsia="Times New Roman" w:hAnsi="Times New Roman" w:cs="Times New Roman"/>
          <w:b w:val="0"/>
          <w:i w:val="0"/>
          <w:vanish w:val="0"/>
          <w:color w:val="000000"/>
          <w:sz w:val="24"/>
        </w:rPr>
        <w:t>1. Strategija programa: glavni izzivi in odzivi politik</w:t>
      </w:r>
      <w:bookmarkEnd w:id="0"/>
    </w:p>
    <w:p w:rsidR="00A77B3E">
      <w:pPr>
        <w:jc w:val="left"/>
        <w:rPr>
          <w:rFonts w:ascii="Times New Roman" w:eastAsia="Times New Roman" w:hAnsi="Times New Roman" w:cs="Times New Roman"/>
          <w:b w:val="0"/>
          <w:i w:val="0"/>
          <w:vanish w:val="0"/>
          <w:color w:val="000000"/>
          <w:sz w:val="16"/>
        </w:rPr>
      </w:pPr>
      <w:r>
        <w:rPr>
          <w:rFonts w:ascii="Times New Roman" w:eastAsia="Times New Roman" w:hAnsi="Times New Roman" w:cs="Times New Roman"/>
          <w:b w:val="0"/>
          <w:i w:val="0"/>
          <w:vanish w:val="0"/>
          <w:color w:val="000000"/>
          <w:sz w:val="24"/>
        </w:rPr>
        <w:t>Sklic: člen 22(3)(a)(iii), (iv), (v) in (ix) Uredbe (EU) 2021/1060 (uredba o skupnih določbah)</w:t>
      </w:r>
    </w:p>
    <w:p w:rsidR="00A77B3E">
      <w:pPr>
        <w:jc w:val="left"/>
        <w:rPr>
          <w:rFonts w:ascii="Times New Roman" w:eastAsia="Times New Roman" w:hAnsi="Times New Roman" w:cs="Times New Roman"/>
          <w:b w:val="0"/>
          <w:i w:val="0"/>
          <w:vanish w:val="0"/>
          <w:color w:val="000000"/>
          <w:sz w:val="1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Pr>
      <w:tblGrid>
        <w:gridCol w:w="10240"/>
      </w:tblGrid>
      <w:tr>
        <w:tblPrEx>
          <w:tblW w:w="5000" w:type="pct"/>
          <w:tblLayout w:type="fixed"/>
        </w:tblPrEx>
        <w:trPr>
          <w:trHeight w:val="240"/>
          <w:tblHeader w:val="0"/>
        </w:trPr>
        <w:tc>
          <w:tcPr>
            <w:tcW w:w="5000" w:type="pct"/>
            <w:tcBorders>
              <w:top w:val="single" w:sz="4" w:space="0" w:color="auto"/>
              <w:left w:val="single" w:sz="4" w:space="0" w:color="auto"/>
              <w:bottom w:val="single" w:sz="4" w:space="0" w:color="auto"/>
              <w:right w:val="single" w:sz="4" w:space="0" w:color="auto"/>
            </w:tcBorders>
            <w:tcMar>
              <w:left w:w="100" w:type="dxa"/>
              <w:right w:w="100" w:type="dxa"/>
            </w:tcMar>
            <w:vAlign w:val="top"/>
          </w:tcPr>
          <w:p w:rsidR="00A77B3E">
            <w:pPr>
              <w:jc w:val="left"/>
              <w:rPr>
                <w:rFonts w:ascii="Times New Roman" w:eastAsia="Times New Roman" w:hAnsi="Times New Roman" w:cs="Times New Roman"/>
                <w:b w:val="0"/>
                <w:i w:val="0"/>
                <w:vanish w:val="0"/>
                <w:color w:val="000000"/>
                <w:sz w:val="0"/>
              </w:rPr>
            </w:pPr>
          </w:p>
          <w:p w:rsidR="00A77B3E">
            <w:pPr>
              <w:jc w:val="left"/>
              <w:rPr>
                <w:rFonts w:ascii="Times New Roman" w:eastAsia="Times New Roman" w:hAnsi="Times New Roman" w:cs="Times New Roman"/>
                <w:b w:val="0"/>
                <w:i w:val="0"/>
                <w:vanish w:val="0"/>
                <w:color w:val="000000"/>
                <w:sz w:val="24"/>
              </w:rPr>
            </w:pPr>
          </w:p>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Evropska unija (EU) je sprejela ukrepe za okrepitev notranje varnosti, boljšo zaščito zunanjih meja in upravljanje migracijskih tokov. Pomemben ukrep je Uredba EU 2019/818 o vzpostavitvi okvira za interoperabilnost informacijskih sistemov EU na področju policijskega in pravosodnega sodelovanja, azila in migracij ter spremembi Uredb (EU) 2018/1726, 2018/1862 in 2019/816.</w:t>
            </w:r>
          </w:p>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Cilj novih aktov je tudi vezan na interoperabilnost s EES, ETIAS, ECRIS in nadgradnjo obstoječih sistemov - SIS, EURODAC, VIS za izboljšanje učinkovitega pretoka informacij med državami članicami (DČ) in povečan nadzor meja, migracij, obravnave vlog za mednarodno (medn.) zaščito in nudenje večje podpore DČ v boju proti kriminalu in terorizmu (vsa oprema in sistemi za interoperabilnost bodo fin. iz IUMV). Iz SNV bo delno fin. inf. strojna, programska oprema in komunikacijsko omrežje policije, potrebno za delovanje in uporabo centralnih EU informacijskih sistemov (75%).</w:t>
            </w:r>
          </w:p>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Slovenija (SI) se zavzema za zagotavljanje skladnosti in uporabo pravnega reda Unije in akcijskih načrtov EU v celotnem času izvajanja programa.</w:t>
            </w:r>
          </w:p>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Glede na geostrateško lego SI grožnje čezmejnega kriminala izvirajo iz Zahodnega Balkana (ZB), vezano na promet s prepovedanimi drogami, strelnim orožjem in ponarejenim blagom, tihotapljenje ljudi, trgovino z ljudmi in čezmejno kriminaliteto. Za odkrivanje in preiskovanje tovrstnih kaznivih dejanj (KD) SI policija uporablja prikrite preiskovalne ukrepe in oblike medn. policijskega sodelovanja. SI je implementirala potrebna orodja za izmenjavo informacij znotraj EU (Prüm, Švedska iniciativa, uradniki za zvezo, PCC SEE); potrebno je še nadgrajevati, razvijati, krepiti in olajšati proces zbiranja, obdelave in izmenjave informacij in podatkov s tujimi varnostnimi in obveščevalnimi službami. Uporablja se operativna analitična podpora, ki jo zagotavlja EUROPOL.</w:t>
            </w:r>
          </w:p>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Izzivi in vrzeli so povezani s pojavi KD. Preiskovanje kibernetske kriminalitete in digitalna forenzika (ob hitrem razvoju informacijske tehnologije), okoljske kriminalitete, gospodarske kriminalitete (KD na škodo finančnih interesov SI in EU) in drugih hudih in organiziranih oblik čezmejne kriminalitete so izzivi za policijo.</w:t>
            </w:r>
          </w:p>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V 2019 je bila sprejeta Nacionalna strategija za boj proti terorizmu, usklajena s cilji strategije EU za boj proti terorizmu in bo podlaga za izvajanje aktivnosti v 2021-2027.</w:t>
            </w:r>
          </w:p>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SI je vzpostavila delovanje nacionalnega sistema za obdelavo podatkov o letalskih potnikih (PNR). S fin. prikritih preiskovalnih ukrepov se je okrepila operativna sposobnost policije pri odkrivanju hudih oblik čezmejne OK, v okviru sodelovanja z DČ EU in EUROPOL. Reintegracija žrtev trgovine z ljudmi je primer dobre prakse sodelovanja policije in nevladnih organizacij.</w:t>
            </w:r>
          </w:p>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Cilj ostaja identifikacija in zajezitev delovanja organiziranih kriminalnih združb na balkanski poti ter krepitev sodelovanja in izmenjave informacij z EUROPOL, policijami DČ in tretjih držav (ZB). Cilj SI je pregon gospodarske kriminalitete in korupcije, kar terja okrepitev sodelovanja nacionalnih organov z institucijami, agencijami EU ter usposobljenost preiskovalcev. Za odkrivanje in preiskovanje KD kibernetskega kriminala bo okrepljeno sodelovanje z drugimi vladnimi in nevladnimi organizacijami ter Evr. centrom za kibernetski kriminal (EC3). V boju proti terorizmu bo poudarek na odkrivanju in preprečevanju radikalizacije ter novačenja (RAN). Spolne zlorabe otrok na spletu se obravnava celovito - preiskava, pregon in podpora žrtvam.</w:t>
            </w:r>
          </w:p>
          <w:p w:rsidR="00A77B3E">
            <w:pPr>
              <w:jc w:val="left"/>
              <w:rPr>
                <w:rFonts w:ascii="Times New Roman" w:eastAsia="Times New Roman" w:hAnsi="Times New Roman" w:cs="Times New Roman"/>
                <w:b w:val="0"/>
                <w:i w:val="0"/>
                <w:vanish w:val="0"/>
                <w:color w:val="000000"/>
                <w:sz w:val="24"/>
              </w:rPr>
            </w:pPr>
          </w:p>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V 2021-2027 je za povezljivost SI, učinkovit boj in preprečevanje kriminala potrebno več aktivnosti na nacionalni ravni, ki so v</w:t>
            </w:r>
            <w:r>
              <w:rPr>
                <w:rStyle w:val="Strong"/>
                <w:rFonts w:ascii="Times New Roman" w:eastAsia="Times New Roman" w:hAnsi="Times New Roman" w:cs="Times New Roman"/>
                <w:b w:val="0"/>
                <w:i w:val="0"/>
                <w:vanish w:val="0"/>
                <w:color w:val="000000"/>
                <w:sz w:val="24"/>
              </w:rPr>
              <w:t xml:space="preserve"> SO1</w:t>
            </w:r>
            <w:r>
              <w:rPr>
                <w:rFonts w:ascii="Times New Roman" w:eastAsia="Times New Roman" w:hAnsi="Times New Roman" w:cs="Times New Roman"/>
                <w:b w:val="0"/>
                <w:i w:val="0"/>
                <w:vanish w:val="0"/>
                <w:color w:val="000000"/>
                <w:sz w:val="24"/>
              </w:rPr>
              <w:t>.</w:t>
            </w:r>
          </w:p>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S SNV bo povečana zmogljivost komunikacijskih povezav z nadgradnjo širokopasovnega omrežja, kriptografske zaščite in posodobitvijo kapacitet varnega govornega omrežja policije ter posodobitev informacijskih podsistemov, ki predstavljajo temelj za implementacijo direktive 2023/977/EU, 2024/982/EU in evropskega indeksnega sistema policijskih evidenc (EPRIS).</w:t>
            </w:r>
          </w:p>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 xml:space="preserve">Kot v ISF 2014-2020 bo nadalje </w:t>
            </w:r>
            <w:r>
              <w:rPr>
                <w:rStyle w:val="Strong"/>
                <w:rFonts w:ascii="Times New Roman" w:eastAsia="Times New Roman" w:hAnsi="Times New Roman" w:cs="Times New Roman"/>
                <w:b w:val="0"/>
                <w:i w:val="0"/>
                <w:vanish w:val="0"/>
                <w:color w:val="000000"/>
                <w:sz w:val="24"/>
              </w:rPr>
              <w:t>razvit in vzdrževan nacionalni PNR sistem</w:t>
            </w:r>
            <w:r>
              <w:rPr>
                <w:rFonts w:ascii="Times New Roman" w:eastAsia="Times New Roman" w:hAnsi="Times New Roman" w:cs="Times New Roman"/>
                <w:b w:val="0"/>
                <w:i w:val="0"/>
                <w:vanish w:val="0"/>
                <w:color w:val="000000"/>
                <w:sz w:val="24"/>
              </w:rPr>
              <w:t xml:space="preserve"> za boj proti najhujšim medn. virom ogrožanja varnosti in omogoča usmerjeno proaktivno delovanje organov kazenskega pregona potencialnih storilcev hujših KD in terorizma. Direktiva 2016/681 je bila v SI prenesena z dopolnitvami Zakona o nalogah in pooblastilih policije in Zakona o letalstvu ter z novim Zakonom o varstvu osebnih podatkov. Vzpostavljena in usposobljena je nacionalna PNR enota, ki je bila iz ISF 2014-2020 tehnično opremljena. Izziv v 2021-2027 bo vzdrževanje, nadgradnja in vzporedna vzpostavitev nove informacijske infrastrukture z novimi programskimi funkcionalnostmi in drugimi IT sistemi EU. API direktiva in njene spremembe bodo vključene v nacionalni PNR sistem.</w:t>
            </w:r>
          </w:p>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 xml:space="preserve">Pomembna sta </w:t>
            </w:r>
            <w:r>
              <w:rPr>
                <w:rStyle w:val="Strong"/>
                <w:rFonts w:ascii="Times New Roman" w:eastAsia="Times New Roman" w:hAnsi="Times New Roman" w:cs="Times New Roman"/>
                <w:b w:val="0"/>
                <w:i w:val="0"/>
                <w:vanish w:val="0"/>
                <w:color w:val="000000"/>
                <w:sz w:val="24"/>
              </w:rPr>
              <w:t>nadaljnji razvoj in nadgradnja sistema Prümske izmenjave podatkov</w:t>
            </w:r>
            <w:r>
              <w:rPr>
                <w:rFonts w:ascii="Times New Roman" w:eastAsia="Times New Roman" w:hAnsi="Times New Roman" w:cs="Times New Roman"/>
                <w:b w:val="0"/>
                <w:i w:val="0"/>
                <w:vanish w:val="0"/>
                <w:color w:val="000000"/>
                <w:sz w:val="24"/>
              </w:rPr>
              <w:t xml:space="preserve">, v skladu z uredbo PRÜM (druga generacija). Vzpostavljen bo sistem PRÜM za izmenjavo podatkov z ZB, po Sporazumu med pogodbenicami Konvencije o policijskem sodelovanju v JV Evropi o avtomatizirani izmenjavi DNK, daktiloskopskih podatkov in podatkov o registraciji vozil; in izvedbenim sporazumom (Dunaj, 13.9.2018), oba podpisana s strani sodelujočih držav, razen SI. Vlada in Državni zbor SI sta odobrila pristop k sporazumu. Ko bo spor med štirimi DČ in Komisijo rešen, se bodo izvedle aktivnosti. Potrebno je tudi </w:t>
            </w:r>
            <w:r>
              <w:rPr>
                <w:rStyle w:val="Strong"/>
                <w:rFonts w:ascii="Times New Roman" w:eastAsia="Times New Roman" w:hAnsi="Times New Roman" w:cs="Times New Roman"/>
                <w:b w:val="0"/>
                <w:i w:val="0"/>
                <w:vanish w:val="0"/>
                <w:color w:val="000000"/>
                <w:sz w:val="24"/>
              </w:rPr>
              <w:t>povečanje nacionalnih zmogljivosti za zbiranje, analizo in izmenjavo podatkov DNK,</w:t>
            </w:r>
            <w:r>
              <w:rPr>
                <w:rFonts w:ascii="Times New Roman" w:eastAsia="Times New Roman" w:hAnsi="Times New Roman" w:cs="Times New Roman"/>
                <w:b w:val="0"/>
                <w:i w:val="0"/>
                <w:vanish w:val="0"/>
                <w:color w:val="000000"/>
                <w:sz w:val="24"/>
              </w:rPr>
              <w:t xml:space="preserve"> izboljšanje kapacitet za delo z evidencami DNK, odpravo zaostankov v analizi sledi in pri poročanju o opravljenih analizah.</w:t>
            </w:r>
          </w:p>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 xml:space="preserve">Pri forenziki je potrebna </w:t>
            </w:r>
            <w:r>
              <w:rPr>
                <w:rStyle w:val="Strong"/>
                <w:rFonts w:ascii="Times New Roman" w:eastAsia="Times New Roman" w:hAnsi="Times New Roman" w:cs="Times New Roman"/>
                <w:b w:val="0"/>
                <w:i w:val="0"/>
                <w:vanish w:val="0"/>
                <w:color w:val="000000"/>
                <w:sz w:val="24"/>
              </w:rPr>
              <w:t xml:space="preserve">krepitev zmogljivosti za identifikacijo tarčnih analitov za izboljšano podporo operativnemu delu in izboljšano medn. sodelovanje. </w:t>
            </w:r>
            <w:r>
              <w:rPr>
                <w:rFonts w:ascii="Times New Roman" w:eastAsia="Times New Roman" w:hAnsi="Times New Roman" w:cs="Times New Roman"/>
                <w:b w:val="0"/>
                <w:i w:val="0"/>
                <w:vanish w:val="0"/>
                <w:color w:val="000000"/>
                <w:sz w:val="24"/>
              </w:rPr>
              <w:t>Za kemijske identifikacije zaseženih novih psihoaktivnih substanc je potrebna krepitev forenzičnih zmogljivosti Nacionalnega forenzičnega laboratorija z razvojem podatkovnih zbirk in metod za kemijske preiskave vzorcev in izmenjavo kredibilnih informacij za sodelovanje z deležniki.</w:t>
            </w:r>
          </w:p>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 xml:space="preserve">SI se sooča z razsežnostmi </w:t>
            </w:r>
            <w:r>
              <w:rPr>
                <w:rStyle w:val="Strong"/>
                <w:rFonts w:ascii="Times New Roman" w:eastAsia="Times New Roman" w:hAnsi="Times New Roman" w:cs="Times New Roman"/>
                <w:b w:val="0"/>
                <w:i w:val="0"/>
                <w:vanish w:val="0"/>
                <w:color w:val="000000"/>
                <w:sz w:val="24"/>
              </w:rPr>
              <w:t>internetne spolne zlorabe otrok</w:t>
            </w:r>
            <w:r>
              <w:rPr>
                <w:rFonts w:ascii="Times New Roman" w:eastAsia="Times New Roman" w:hAnsi="Times New Roman" w:cs="Times New Roman"/>
                <w:b w:val="0"/>
                <w:i w:val="0"/>
                <w:vanish w:val="0"/>
                <w:color w:val="000000"/>
                <w:sz w:val="24"/>
              </w:rPr>
              <w:t xml:space="preserve">, ki je tudi naloga EMPACT. Nujno je </w:t>
            </w:r>
            <w:r>
              <w:rPr>
                <w:rStyle w:val="Strong"/>
                <w:rFonts w:ascii="Times New Roman" w:eastAsia="Times New Roman" w:hAnsi="Times New Roman" w:cs="Times New Roman"/>
                <w:b w:val="0"/>
                <w:i w:val="0"/>
                <w:vanish w:val="0"/>
                <w:color w:val="000000"/>
                <w:sz w:val="24"/>
              </w:rPr>
              <w:t>medn. sodelovanje in izmenjava podatkov</w:t>
            </w:r>
            <w:r>
              <w:rPr>
                <w:rFonts w:ascii="Times New Roman" w:eastAsia="Times New Roman" w:hAnsi="Times New Roman" w:cs="Times New Roman"/>
                <w:b w:val="0"/>
                <w:i w:val="0"/>
                <w:vanish w:val="0"/>
                <w:color w:val="000000"/>
                <w:sz w:val="24"/>
              </w:rPr>
              <w:t xml:space="preserve">. Statistični podatki podpirajo vzpostavitev slovenske evidence gradiv spolnega izkoriščanja mlad. oseb (NCSE DB). Podatki o tovrstnih KD (v l. 2016 - 106; 2017 - 189; 2018 - 141; 2019 - 134; 2020 -150) kažejo stalni porast. Predvidena je </w:t>
            </w:r>
            <w:r>
              <w:rPr>
                <w:rStyle w:val="Strong"/>
                <w:rFonts w:ascii="Times New Roman" w:eastAsia="Times New Roman" w:hAnsi="Times New Roman" w:cs="Times New Roman"/>
                <w:b w:val="0"/>
                <w:i w:val="0"/>
                <w:vanish w:val="0"/>
                <w:color w:val="000000"/>
                <w:sz w:val="24"/>
              </w:rPr>
              <w:t xml:space="preserve">vzpostavitev NCSE DB </w:t>
            </w:r>
            <w:r>
              <w:rPr>
                <w:rFonts w:ascii="Times New Roman" w:eastAsia="Times New Roman" w:hAnsi="Times New Roman" w:cs="Times New Roman"/>
                <w:b w:val="0"/>
                <w:i w:val="0"/>
                <w:vanish w:val="0"/>
                <w:color w:val="000000"/>
                <w:sz w:val="24"/>
              </w:rPr>
              <w:t>za izmenjavo podatkov z drugimi DČ in Centrom EU za preprečevanje spolne zlorabe otrok ter sodelovanje v EUROPOL TWINS. NCSE DB bo SI omogočal izvedbo VID procesa (</w:t>
            </w:r>
            <w:r>
              <w:rPr>
                <w:rStyle w:val="Emphasis"/>
                <w:rFonts w:ascii="Times New Roman" w:eastAsia="Times New Roman" w:hAnsi="Times New Roman" w:cs="Times New Roman"/>
                <w:b w:val="0"/>
                <w:i w:val="0"/>
                <w:vanish w:val="0"/>
                <w:color w:val="000000"/>
                <w:sz w:val="24"/>
              </w:rPr>
              <w:t>Victim Identification Process</w:t>
            </w:r>
            <w:r>
              <w:rPr>
                <w:rFonts w:ascii="Times New Roman" w:eastAsia="Times New Roman" w:hAnsi="Times New Roman" w:cs="Times New Roman"/>
                <w:b w:val="0"/>
                <w:i w:val="0"/>
                <w:vanish w:val="0"/>
                <w:color w:val="000000"/>
                <w:sz w:val="24"/>
              </w:rPr>
              <w:t>).</w:t>
            </w:r>
          </w:p>
          <w:p w:rsidR="00A77B3E">
            <w:pPr>
              <w:jc w:val="left"/>
              <w:rPr>
                <w:rFonts w:ascii="Times New Roman" w:eastAsia="Times New Roman" w:hAnsi="Times New Roman" w:cs="Times New Roman"/>
                <w:b w:val="0"/>
                <w:i w:val="0"/>
                <w:vanish w:val="0"/>
                <w:color w:val="000000"/>
                <w:sz w:val="24"/>
              </w:rPr>
            </w:pPr>
          </w:p>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 xml:space="preserve">V </w:t>
            </w:r>
            <w:r>
              <w:rPr>
                <w:rStyle w:val="Strong"/>
                <w:rFonts w:ascii="Times New Roman" w:eastAsia="Times New Roman" w:hAnsi="Times New Roman" w:cs="Times New Roman"/>
                <w:b w:val="0"/>
                <w:i w:val="0"/>
                <w:vanish w:val="0"/>
                <w:color w:val="000000"/>
                <w:sz w:val="24"/>
              </w:rPr>
              <w:t>SO2</w:t>
            </w:r>
            <w:r>
              <w:rPr>
                <w:rFonts w:ascii="Times New Roman" w:eastAsia="Times New Roman" w:hAnsi="Times New Roman" w:cs="Times New Roman"/>
                <w:b w:val="0"/>
                <w:i w:val="0"/>
                <w:vanish w:val="0"/>
                <w:color w:val="000000"/>
                <w:sz w:val="24"/>
              </w:rPr>
              <w:t xml:space="preserve"> je v ospredju področje hude in organizirane kriminalitete (OK), zaradi geografskega položaja z izpostavljenostjo vplivom balkanske poti. Analize EUROPOL opredeljujejo ZB kot kriminalno žarišče za trgovino z nezakonitim blagom, ustvarjanje novih trgov in možnost kriminalne dejavnosti, SI pa kot tranzitno območje za vstop v EU. Čezmejne varnostne grožnje so tihotapstvo prepovedanih drog, trgovina z ljudmi, nezakonite migracije (tihotapljenje), nezakonita trgovina z odpadki, orožjem, korupcija, pranje denarja ter zlorabe sodobne IKT.</w:t>
            </w:r>
          </w:p>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SI bo nadaljevala sodelovanje v EMPACT, zagotavljala dobro usklajevanje na nacionalni ravni s podporo SI NEC. Načrtovanje in delovanje bo predmet usklajevanja s koordinatorji EMPACT (NEC).</w:t>
            </w:r>
          </w:p>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Na nezakonite migracije po balkanski poti vplivajo združbe, ki tihotapijo migrante v SI in EU. V okviru sodelovanja z državami ZB, DČ EU in EUROPOL bo Sl želela zagotoviti sinergijo in učinkovitost pri odkrivanju in preprečevanju tihotapljenja v okviru EMPACT.</w:t>
            </w:r>
          </w:p>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SI si bo prizadevala vzpostaviti</w:t>
            </w:r>
            <w:r>
              <w:rPr>
                <w:rStyle w:val="Strong"/>
                <w:rFonts w:ascii="Times New Roman" w:eastAsia="Times New Roman" w:hAnsi="Times New Roman" w:cs="Times New Roman"/>
                <w:b w:val="0"/>
                <w:i w:val="0"/>
                <w:vanish w:val="0"/>
                <w:color w:val="000000"/>
                <w:sz w:val="24"/>
              </w:rPr>
              <w:t xml:space="preserve"> skupne preiskovalne skupine(JIT)</w:t>
            </w:r>
            <w:r>
              <w:rPr>
                <w:rFonts w:ascii="Times New Roman" w:eastAsia="Times New Roman" w:hAnsi="Times New Roman" w:cs="Times New Roman"/>
                <w:b w:val="0"/>
                <w:i w:val="0"/>
                <w:vanish w:val="0"/>
                <w:color w:val="000000"/>
                <w:sz w:val="24"/>
              </w:rPr>
              <w:t xml:space="preserve"> ter izvajati skupne čezmejne operacije s prikritimi preiskovalnimi ukrepi za identificiranje in omejitev nezakonite dejavnosti hudodelskih družb. Letno povprečno št. skupnih čezmejnih operacij je 47 (v l. 2018 - 38, v 2019 - 58, v 2020 -46), povprečno št. JIT pa 6 (v l. 2018 - 4, v 2019 - 8, v 2020 - 6).</w:t>
            </w:r>
          </w:p>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Resolucija o strategiji nacionalne varnosti RS navaja pomen intenzivnega operativnega medn. policijskega sodelovanja in stalne izmenjave kriminalističnoobveščevalnih informacij in podatkov s tujimi varnostnimi in obveščevalnimi službami, Europol, Eurojust, Interpol ter drugimi medn. policijsko-varnostnimi organizacijami. SI bo okrepila operativne zmogljivosti za izvajanje kriminalističnoobveščevalne dejavnosti in prikritih preiskovalnih ukrepov ter uveljavila metode, taktike in tehnike za preprečevanje, odkrivanje in preiskovanje hudega in OK v skladu z EU Strategijo za boj proti OK 2021-2025 ter EU SOCTA 2021 in EU STNA 2022-2025.</w:t>
            </w:r>
          </w:p>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 xml:space="preserve">Usmeritev bo v področje </w:t>
            </w:r>
            <w:r>
              <w:rPr>
                <w:rStyle w:val="Strong"/>
                <w:rFonts w:ascii="Times New Roman" w:eastAsia="Times New Roman" w:hAnsi="Times New Roman" w:cs="Times New Roman"/>
                <w:b w:val="0"/>
                <w:i w:val="0"/>
                <w:vanish w:val="0"/>
                <w:color w:val="000000"/>
                <w:sz w:val="24"/>
              </w:rPr>
              <w:t>prikritih preiskovalnih ukrepov za</w:t>
            </w:r>
            <w:r>
              <w:rPr>
                <w:rFonts w:ascii="Times New Roman" w:eastAsia="Times New Roman" w:hAnsi="Times New Roman" w:cs="Times New Roman"/>
                <w:b w:val="0"/>
                <w:i w:val="0"/>
                <w:vanish w:val="0"/>
                <w:color w:val="000000"/>
                <w:sz w:val="24"/>
              </w:rPr>
              <w:t xml:space="preserve"> odkrivanje in preiskovanje oblik čezmejne OK. Več bo izvajanja tajnih opazovanj po evropskih preiskovalnih nalogih. Potrebna bo materialno tehnična in kadrovska okrepitev nacionalnega oddelka za tajno opazovanje.</w:t>
            </w:r>
          </w:p>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 xml:space="preserve">Sposobnost odziva posamezne DČ na OK in terorizem vključuje </w:t>
            </w:r>
            <w:r>
              <w:rPr>
                <w:rStyle w:val="Strong"/>
                <w:rFonts w:ascii="Times New Roman" w:eastAsia="Times New Roman" w:hAnsi="Times New Roman" w:cs="Times New Roman"/>
                <w:b w:val="0"/>
                <w:i w:val="0"/>
                <w:vanish w:val="0"/>
                <w:color w:val="000000"/>
                <w:sz w:val="24"/>
              </w:rPr>
              <w:t>sredstva za množično uničevanje</w:t>
            </w:r>
            <w:r>
              <w:rPr>
                <w:rFonts w:ascii="Times New Roman" w:eastAsia="Times New Roman" w:hAnsi="Times New Roman" w:cs="Times New Roman"/>
                <w:b w:val="0"/>
                <w:i w:val="0"/>
                <w:vanish w:val="0"/>
                <w:color w:val="000000"/>
                <w:sz w:val="24"/>
              </w:rPr>
              <w:t>. Mreža EEODN (European Explosive Ordnance Disposal Network) je z EUROPOL dvignila stopnjo zavedanja nove grožnje aktivnosti s kemičnimi, biološkimi agensi in radioaktivnimi snovmi, zato bo SI usmerjena v zmogljivosti policije pri odzivanju na njih.</w:t>
            </w:r>
          </w:p>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Prikriti preiskovalni ukrepi brez čezmejne in EU dimenzije in kadrovska okrepitev enote za tajno opazovanje bodo fin. iz SI proračuna.</w:t>
            </w:r>
          </w:p>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Cilj je tudi krepitev čezmejnega policijskega sodelovanja preko centrov za mednarodno sodelovanje.</w:t>
            </w:r>
          </w:p>
          <w:p w:rsidR="00A77B3E">
            <w:pPr>
              <w:jc w:val="left"/>
              <w:rPr>
                <w:rFonts w:ascii="Times New Roman" w:eastAsia="Times New Roman" w:hAnsi="Times New Roman" w:cs="Times New Roman"/>
                <w:b w:val="0"/>
                <w:i w:val="0"/>
                <w:vanish w:val="0"/>
                <w:color w:val="000000"/>
                <w:sz w:val="24"/>
              </w:rPr>
            </w:pPr>
          </w:p>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 xml:space="preserve">Nacionalno varnost ogrožajo gospodarska, ekološka, kibernetska, čezmejna kriminaliteta, zato bo SI v okviru </w:t>
            </w:r>
            <w:r>
              <w:rPr>
                <w:rStyle w:val="Strong"/>
                <w:rFonts w:ascii="Times New Roman" w:eastAsia="Times New Roman" w:hAnsi="Times New Roman" w:cs="Times New Roman"/>
                <w:b w:val="0"/>
                <w:i w:val="0"/>
                <w:vanish w:val="0"/>
                <w:color w:val="000000"/>
                <w:sz w:val="24"/>
              </w:rPr>
              <w:t>SO3</w:t>
            </w:r>
            <w:r>
              <w:rPr>
                <w:rFonts w:ascii="Times New Roman" w:eastAsia="Times New Roman" w:hAnsi="Times New Roman" w:cs="Times New Roman"/>
                <w:b w:val="0"/>
                <w:i w:val="0"/>
                <w:vanish w:val="0"/>
                <w:color w:val="000000"/>
                <w:sz w:val="24"/>
              </w:rPr>
              <w:t xml:space="preserve"> izvajala aktivnosti za boj proti temu kriminalu.</w:t>
            </w:r>
          </w:p>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 xml:space="preserve">V SI je v 2016-2020 zaradi </w:t>
            </w:r>
            <w:r>
              <w:rPr>
                <w:rStyle w:val="Strong"/>
                <w:rFonts w:ascii="Times New Roman" w:eastAsia="Times New Roman" w:hAnsi="Times New Roman" w:cs="Times New Roman"/>
                <w:b w:val="0"/>
                <w:i w:val="0"/>
                <w:vanish w:val="0"/>
                <w:color w:val="000000"/>
                <w:sz w:val="24"/>
              </w:rPr>
              <w:t>gospodarske kriminalitete</w:t>
            </w:r>
            <w:r>
              <w:rPr>
                <w:rFonts w:ascii="Times New Roman" w:eastAsia="Times New Roman" w:hAnsi="Times New Roman" w:cs="Times New Roman"/>
                <w:b w:val="0"/>
                <w:i w:val="0"/>
                <w:vanish w:val="0"/>
                <w:color w:val="000000"/>
                <w:sz w:val="24"/>
              </w:rPr>
              <w:t xml:space="preserve"> škoda znašala 1.975,8 MIO EUR (82% zaznane škode). Preiskovanje teh KD ostaja prioriteta SI policije skladno z Resolucijo o nacionalnem programu preprečevanja in zatiranja kriminalitete za obdobje 2019–2023 ter Srednjeročnim načrtom razvoja in dela policije za 2018–2022. Potrebno bo zagotoviti usposobljenost preiskovalcev in dostop do baz podatkov o gospodarskih subjektih. V ciklu EMPACT 2022-2025 bo Sl sodelovala v pred. nalogi </w:t>
            </w:r>
            <w:r>
              <w:rPr>
                <w:rStyle w:val="Emphasis"/>
                <w:rFonts w:ascii="Times New Roman" w:eastAsia="Times New Roman" w:hAnsi="Times New Roman" w:cs="Times New Roman"/>
                <w:b w:val="0"/>
                <w:i w:val="0"/>
                <w:vanish w:val="0"/>
                <w:color w:val="000000"/>
                <w:sz w:val="24"/>
              </w:rPr>
              <w:t>Goljufije, gospodarska in finančna KD</w:t>
            </w:r>
            <w:r>
              <w:rPr>
                <w:rFonts w:ascii="Times New Roman" w:eastAsia="Times New Roman" w:hAnsi="Times New Roman" w:cs="Times New Roman"/>
                <w:b w:val="0"/>
                <w:i w:val="0"/>
                <w:vanish w:val="0"/>
                <w:color w:val="000000"/>
                <w:sz w:val="24"/>
              </w:rPr>
              <w:t>, v nalogah: spletne goljufije, goljufije na področju trošarin, goljufije znotraj Skupnosti z neobstoječim trgovcem (DDV), pridobivanje finančnih sredstev s KD, pranje denarja in odvzem premoženjske koristi.</w:t>
            </w:r>
          </w:p>
          <w:p w:rsidR="00A77B3E">
            <w:pPr>
              <w:jc w:val="left"/>
              <w:rPr>
                <w:rFonts w:ascii="Times New Roman" w:eastAsia="Times New Roman" w:hAnsi="Times New Roman" w:cs="Times New Roman"/>
                <w:b w:val="0"/>
                <w:i w:val="0"/>
                <w:vanish w:val="0"/>
                <w:color w:val="000000"/>
                <w:sz w:val="24"/>
              </w:rPr>
            </w:pPr>
            <w:r>
              <w:rPr>
                <w:rStyle w:val="Strong"/>
                <w:rFonts w:ascii="Times New Roman" w:eastAsia="Times New Roman" w:hAnsi="Times New Roman" w:cs="Times New Roman"/>
                <w:b w:val="0"/>
                <w:i w:val="0"/>
                <w:vanish w:val="0"/>
                <w:color w:val="000000"/>
                <w:sz w:val="24"/>
              </w:rPr>
              <w:t>Ekološka kriminaliteta</w:t>
            </w:r>
            <w:r>
              <w:rPr>
                <w:rFonts w:ascii="Times New Roman" w:eastAsia="Times New Roman" w:hAnsi="Times New Roman" w:cs="Times New Roman"/>
                <w:b w:val="0"/>
                <w:i w:val="0"/>
                <w:vanish w:val="0"/>
                <w:color w:val="000000"/>
                <w:sz w:val="24"/>
              </w:rPr>
              <w:t xml:space="preserve"> je grožnja za okolje in družbo. V okviru Delovne skupine za splošne zadeve Sveta EU je bila 2018 v Sl izvedena evalvacija </w:t>
            </w:r>
            <w:r>
              <w:rPr>
                <w:rStyle w:val="Emphasis"/>
                <w:rFonts w:ascii="Times New Roman" w:eastAsia="Times New Roman" w:hAnsi="Times New Roman" w:cs="Times New Roman"/>
                <w:b w:val="0"/>
                <w:i w:val="0"/>
                <w:vanish w:val="0"/>
                <w:color w:val="000000"/>
                <w:sz w:val="24"/>
              </w:rPr>
              <w:t>Praktično izvajanje in delovanje evr. politik za preprečevanje in boj proti ekološki kriminaliteti</w:t>
            </w:r>
            <w:r>
              <w:rPr>
                <w:rFonts w:ascii="Times New Roman" w:eastAsia="Times New Roman" w:hAnsi="Times New Roman" w:cs="Times New Roman"/>
                <w:b w:val="0"/>
                <w:i w:val="0"/>
                <w:vanish w:val="0"/>
                <w:color w:val="000000"/>
                <w:sz w:val="24"/>
              </w:rPr>
              <w:t xml:space="preserve"> in podanih 20 priporočil. SNV bo pripomogel k ustanovitvi nacionalne enote, uvedbi specializacije, usposabljanju in pridobitvi ustrezne opreme policije za učinkovito odkrivanje in preiskovanje nezakonite čezmejne trgovine z odpadki in ekološke kriminalitete. SI bo sodelovala v okviru pred. naloge EMPACT </w:t>
            </w:r>
            <w:r>
              <w:rPr>
                <w:rStyle w:val="Emphasis"/>
                <w:rFonts w:ascii="Times New Roman" w:eastAsia="Times New Roman" w:hAnsi="Times New Roman" w:cs="Times New Roman"/>
                <w:b w:val="0"/>
                <w:i w:val="0"/>
                <w:vanish w:val="0"/>
                <w:color w:val="000000"/>
                <w:sz w:val="24"/>
              </w:rPr>
              <w:t>Okoljska kriminaliteta</w:t>
            </w:r>
            <w:r>
              <w:rPr>
                <w:rFonts w:ascii="Times New Roman" w:eastAsia="Times New Roman" w:hAnsi="Times New Roman" w:cs="Times New Roman"/>
                <w:b w:val="0"/>
                <w:i w:val="0"/>
                <w:vanish w:val="0"/>
                <w:color w:val="000000"/>
                <w:sz w:val="24"/>
              </w:rPr>
              <w:t>.</w:t>
            </w:r>
          </w:p>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 xml:space="preserve">Hiter razvoj IT področja, nove oblike KD </w:t>
            </w:r>
            <w:r>
              <w:rPr>
                <w:rStyle w:val="Strong"/>
                <w:rFonts w:ascii="Times New Roman" w:eastAsia="Times New Roman" w:hAnsi="Times New Roman" w:cs="Times New Roman"/>
                <w:b w:val="0"/>
                <w:i w:val="0"/>
                <w:vanish w:val="0"/>
                <w:color w:val="000000"/>
                <w:sz w:val="24"/>
              </w:rPr>
              <w:t>kibernetske kriminalitete</w:t>
            </w:r>
            <w:r>
              <w:rPr>
                <w:rFonts w:ascii="Times New Roman" w:eastAsia="Times New Roman" w:hAnsi="Times New Roman" w:cs="Times New Roman"/>
                <w:b w:val="0"/>
                <w:i w:val="0"/>
                <w:vanish w:val="0"/>
                <w:color w:val="000000"/>
                <w:sz w:val="24"/>
              </w:rPr>
              <w:t xml:space="preserve">, večja uporaba e-naprav in novih tehnologij pri izvrševanju KD, terja redno usposabljanje in prilagoditve metod dela, postopkov in opreme ter implementacijo novih direktiv (2024/1260/EU- ARO/AMO). S SNV 2021-2027 bo boljša operativna sposobnost policije za preprečevanje, odkrivanje in preiskovanje kibernetske kriminalitete ter preiskav elektronskih naprav. SI bo sodelovala v okviru pred. naloge EMPACT </w:t>
            </w:r>
            <w:r>
              <w:rPr>
                <w:rStyle w:val="Emphasis"/>
                <w:rFonts w:ascii="Times New Roman" w:eastAsia="Times New Roman" w:hAnsi="Times New Roman" w:cs="Times New Roman"/>
                <w:b w:val="0"/>
                <w:i w:val="0"/>
                <w:vanish w:val="0"/>
                <w:color w:val="000000"/>
                <w:sz w:val="24"/>
              </w:rPr>
              <w:t>Kibernetski napadi</w:t>
            </w:r>
            <w:r>
              <w:rPr>
                <w:rFonts w:ascii="Times New Roman" w:eastAsia="Times New Roman" w:hAnsi="Times New Roman" w:cs="Times New Roman"/>
                <w:b w:val="0"/>
                <w:i w:val="0"/>
                <w:vanish w:val="0"/>
                <w:color w:val="000000"/>
                <w:sz w:val="24"/>
              </w:rPr>
              <w:t xml:space="preserve">, naloga </w:t>
            </w:r>
            <w:r>
              <w:rPr>
                <w:rStyle w:val="Emphasis"/>
                <w:rFonts w:ascii="Times New Roman" w:eastAsia="Times New Roman" w:hAnsi="Times New Roman" w:cs="Times New Roman"/>
                <w:b w:val="0"/>
                <w:i w:val="0"/>
                <w:vanish w:val="0"/>
                <w:color w:val="000000"/>
                <w:sz w:val="24"/>
              </w:rPr>
              <w:t>Sheme spletnih goljufij</w:t>
            </w:r>
            <w:r>
              <w:rPr>
                <w:rFonts w:ascii="Times New Roman" w:eastAsia="Times New Roman" w:hAnsi="Times New Roman" w:cs="Times New Roman"/>
                <w:b w:val="0"/>
                <w:i w:val="0"/>
                <w:vanish w:val="0"/>
                <w:color w:val="000000"/>
                <w:sz w:val="24"/>
              </w:rPr>
              <w:t xml:space="preserve"> pa bo izvedena v okviru OAP </w:t>
            </w:r>
            <w:r>
              <w:rPr>
                <w:rStyle w:val="Emphasis"/>
                <w:rFonts w:ascii="Times New Roman" w:eastAsia="Times New Roman" w:hAnsi="Times New Roman" w:cs="Times New Roman"/>
                <w:b w:val="0"/>
                <w:i w:val="0"/>
                <w:vanish w:val="0"/>
                <w:color w:val="000000"/>
                <w:sz w:val="24"/>
              </w:rPr>
              <w:t>(Empact operational action plan)</w:t>
            </w:r>
            <w:r>
              <w:rPr>
                <w:rFonts w:ascii="Times New Roman" w:eastAsia="Times New Roman" w:hAnsi="Times New Roman" w:cs="Times New Roman"/>
                <w:b w:val="0"/>
                <w:i w:val="0"/>
                <w:vanish w:val="0"/>
                <w:color w:val="000000"/>
                <w:sz w:val="24"/>
              </w:rPr>
              <w:t xml:space="preserve"> za gospodarski kriminal.</w:t>
            </w:r>
          </w:p>
          <w:p w:rsidR="00A77B3E">
            <w:pPr>
              <w:jc w:val="left"/>
              <w:rPr>
                <w:rFonts w:ascii="Times New Roman" w:eastAsia="Times New Roman" w:hAnsi="Times New Roman" w:cs="Times New Roman"/>
                <w:b w:val="0"/>
                <w:i w:val="0"/>
                <w:vanish w:val="0"/>
                <w:color w:val="000000"/>
                <w:sz w:val="24"/>
              </w:rPr>
            </w:pPr>
            <w:r>
              <w:rPr>
                <w:rStyle w:val="Strong"/>
                <w:rFonts w:ascii="Times New Roman" w:eastAsia="Times New Roman" w:hAnsi="Times New Roman" w:cs="Times New Roman"/>
                <w:b w:val="0"/>
                <w:i w:val="0"/>
                <w:vanish w:val="0"/>
                <w:color w:val="000000"/>
                <w:sz w:val="24"/>
              </w:rPr>
              <w:t>Finančne preiskave in sodelovanje z ARO/AMO</w:t>
            </w:r>
            <w:r>
              <w:rPr>
                <w:rFonts w:ascii="Times New Roman" w:eastAsia="Times New Roman" w:hAnsi="Times New Roman" w:cs="Times New Roman"/>
                <w:b w:val="0"/>
                <w:i w:val="0"/>
                <w:vanish w:val="0"/>
                <w:color w:val="000000"/>
                <w:sz w:val="24"/>
              </w:rPr>
              <w:t xml:space="preserve"> - v okviru boja proti organiziranemu kriminalu bo policija posebno pozornost namenila preiskovalnemu pristopu »sledenju denarja«, vzporednim finančnim preiskavam in implementaciji Directive 2024/1260/EU (ARO/AMO). Vlada SI je sprejela sklep št. 02400-1/2025/3 za povečanje kapacitet policije za implementacijo direktive.</w:t>
            </w:r>
          </w:p>
          <w:p w:rsidR="00A77B3E">
            <w:pPr>
              <w:jc w:val="left"/>
              <w:rPr>
                <w:rFonts w:ascii="Times New Roman" w:eastAsia="Times New Roman" w:hAnsi="Times New Roman" w:cs="Times New Roman"/>
                <w:b w:val="0"/>
                <w:i w:val="0"/>
                <w:vanish w:val="0"/>
                <w:color w:val="000000"/>
                <w:sz w:val="24"/>
              </w:rPr>
            </w:pPr>
            <w:r>
              <w:rPr>
                <w:rStyle w:val="Strong"/>
                <w:rFonts w:ascii="Times New Roman" w:eastAsia="Times New Roman" w:hAnsi="Times New Roman" w:cs="Times New Roman"/>
                <w:b w:val="0"/>
                <w:i w:val="0"/>
                <w:vanish w:val="0"/>
                <w:color w:val="000000"/>
                <w:sz w:val="24"/>
              </w:rPr>
              <w:t>Radikalizacija in nasilni ekstremizem</w:t>
            </w:r>
            <w:r>
              <w:rPr>
                <w:rFonts w:ascii="Times New Roman" w:eastAsia="Times New Roman" w:hAnsi="Times New Roman" w:cs="Times New Roman"/>
                <w:b w:val="0"/>
                <w:i w:val="0"/>
                <w:vanish w:val="0"/>
                <w:color w:val="000000"/>
                <w:sz w:val="24"/>
              </w:rPr>
              <w:t xml:space="preserve"> sta grožnja medn. varnosti, razvoju in napredku človeštva, občutku pripadnosti, demokraciji ter človekovim pravicam. Preprečevanje zahteva multidisciplinaren in večdimenzionalen pristop, ki obravnava tveganje, vzročne in sprožilne dejavnike. Na sistemsko-strateški ravni sprejete obveznosti se odrazijo na lokalni ravni, to pa se upošteva pri strateškem načrtovanju. Za SI je relevantna Resolucija o strategiji nacionalne varnosti. V Resoluciji o nacionalnem programu preprečevanja in zatiranja kriminalitete za obdobje 2019–2023 radikalizacija pomeni odklonsko ravnanje, povezano s terorizmom. Vlada SI je sprejela sklep št. 2210-2/2019/4, s katerim je sprejela Nacionalno strategijo za preprečevanje terorizma in nasilnega ekstremizma in imenovala nac. koordinatorja. SNV bo pripomogel k določanju postopkov ravnanja in prepoznavanju znakov radikalizacije.</w:t>
            </w:r>
          </w:p>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 xml:space="preserve">V boju proti </w:t>
            </w:r>
            <w:r>
              <w:rPr>
                <w:rStyle w:val="Strong"/>
                <w:rFonts w:ascii="Times New Roman" w:eastAsia="Times New Roman" w:hAnsi="Times New Roman" w:cs="Times New Roman"/>
                <w:b w:val="0"/>
                <w:i w:val="0"/>
                <w:vanish w:val="0"/>
                <w:color w:val="000000"/>
                <w:sz w:val="24"/>
              </w:rPr>
              <w:t>trgovini z ljudmi</w:t>
            </w:r>
            <w:r>
              <w:rPr>
                <w:rFonts w:ascii="Times New Roman" w:eastAsia="Times New Roman" w:hAnsi="Times New Roman" w:cs="Times New Roman"/>
                <w:b w:val="0"/>
                <w:i w:val="0"/>
                <w:vanish w:val="0"/>
                <w:color w:val="000000"/>
                <w:sz w:val="24"/>
              </w:rPr>
              <w:t xml:space="preserve">, ki je tudi pred. naloga EMPACT, policija namenja pozornost identifikaciji žrtev trgovine z ljudmi in sodeluje z državnimi organi, tujimi varnostnimi organi in nevladnimi organizacijami. Izveden bo program krizne in varne namestitve žrtev ter </w:t>
            </w:r>
            <w:r>
              <w:rPr>
                <w:rStyle w:val="Strong"/>
                <w:rFonts w:ascii="Times New Roman" w:eastAsia="Times New Roman" w:hAnsi="Times New Roman" w:cs="Times New Roman"/>
                <w:b w:val="0"/>
                <w:i w:val="0"/>
                <w:vanish w:val="0"/>
                <w:color w:val="000000"/>
                <w:sz w:val="24"/>
              </w:rPr>
              <w:t>program reintegracije</w:t>
            </w:r>
            <w:r>
              <w:rPr>
                <w:rFonts w:ascii="Times New Roman" w:eastAsia="Times New Roman" w:hAnsi="Times New Roman" w:cs="Times New Roman"/>
                <w:b w:val="0"/>
                <w:i w:val="0"/>
                <w:vanish w:val="0"/>
                <w:color w:val="000000"/>
                <w:sz w:val="24"/>
              </w:rPr>
              <w:t xml:space="preserve">. To za žrtve pomeni prvi korak k samostojnemu življenju brez nasilja, izkoriščanja in kršenja človekovih pravic. Nevladne organizacije pomagajo pri socialnem vključevanju s ciljem </w:t>
            </w:r>
            <w:r>
              <w:rPr>
                <w:rStyle w:val="Emphasis"/>
                <w:rFonts w:ascii="Times New Roman" w:eastAsia="Times New Roman" w:hAnsi="Times New Roman" w:cs="Times New Roman"/>
                <w:b w:val="0"/>
                <w:i w:val="0"/>
                <w:vanish w:val="0"/>
                <w:color w:val="000000"/>
                <w:sz w:val="24"/>
              </w:rPr>
              <w:t>življenje brez ponavljanja travmatičnih izkušenj in izkoriščanja</w:t>
            </w:r>
            <w:r>
              <w:rPr>
                <w:rFonts w:ascii="Times New Roman" w:eastAsia="Times New Roman" w:hAnsi="Times New Roman" w:cs="Times New Roman"/>
                <w:b w:val="0"/>
                <w:i w:val="0"/>
                <w:vanish w:val="0"/>
                <w:color w:val="000000"/>
                <w:sz w:val="24"/>
              </w:rPr>
              <w:t>. Operacija reintegracije žrtev trgovine z ljudmi je bil v okviru ISF 2014-2020 primer dobre prakse sodelovanja policije in nevladnih organizacij, zato se bo nadaljeval.</w:t>
            </w:r>
          </w:p>
          <w:p w:rsidR="00A77B3E">
            <w:pPr>
              <w:jc w:val="left"/>
              <w:rPr>
                <w:rFonts w:ascii="Times New Roman" w:eastAsia="Times New Roman" w:hAnsi="Times New Roman" w:cs="Times New Roman"/>
                <w:b w:val="0"/>
                <w:i w:val="0"/>
                <w:vanish w:val="0"/>
                <w:color w:val="000000"/>
                <w:sz w:val="24"/>
              </w:rPr>
            </w:pPr>
            <w:r>
              <w:rPr>
                <w:rStyle w:val="Strong"/>
                <w:rFonts w:ascii="Times New Roman" w:eastAsia="Times New Roman" w:hAnsi="Times New Roman" w:cs="Times New Roman"/>
                <w:b w:val="0"/>
                <w:i w:val="0"/>
                <w:vanish w:val="0"/>
                <w:color w:val="000000"/>
                <w:sz w:val="24"/>
              </w:rPr>
              <w:t>Zaščita prič</w:t>
            </w:r>
            <w:r>
              <w:rPr>
                <w:rFonts w:ascii="Times New Roman" w:eastAsia="Times New Roman" w:hAnsi="Times New Roman" w:cs="Times New Roman"/>
                <w:b w:val="0"/>
                <w:i w:val="0"/>
                <w:vanish w:val="0"/>
                <w:color w:val="000000"/>
                <w:sz w:val="24"/>
              </w:rPr>
              <w:t xml:space="preserve"> je temelj v boju proti OK in terorizmu. Skladno z Zakonom o zaščiti prič se ogroženim osebam in </w:t>
            </w:r>
            <w:r>
              <w:rPr>
                <w:rStyle w:val="Strong"/>
                <w:rFonts w:ascii="Times New Roman" w:eastAsia="Times New Roman" w:hAnsi="Times New Roman" w:cs="Times New Roman"/>
                <w:b w:val="0"/>
                <w:i w:val="0"/>
                <w:vanish w:val="0"/>
                <w:color w:val="000000"/>
                <w:sz w:val="24"/>
              </w:rPr>
              <w:t>žvižgačem</w:t>
            </w:r>
            <w:r>
              <w:rPr>
                <w:rFonts w:ascii="Times New Roman" w:eastAsia="Times New Roman" w:hAnsi="Times New Roman" w:cs="Times New Roman"/>
                <w:b w:val="0"/>
                <w:i w:val="0"/>
                <w:vanish w:val="0"/>
                <w:color w:val="000000"/>
                <w:sz w:val="24"/>
              </w:rPr>
              <w:t xml:space="preserve"> zagotavlja zaščita pred, med in po končanem kazen. postopku. Izvajajo se nujni zaščitni ukrepi pred vključitvijo osebe v program zaščite in nato v programu zaščite. Po sedanjem izvajanju programa v SI in nalog v medn. okolju, po potrebna dodatna oprema za učinkovito in varno izvajanje programa za ogrožene osebe ter izvajalce zaščitnih ukrepov.</w:t>
            </w:r>
          </w:p>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 xml:space="preserve">SI bo okrepila </w:t>
            </w:r>
            <w:r>
              <w:rPr>
                <w:rStyle w:val="Strong"/>
                <w:rFonts w:ascii="Times New Roman" w:eastAsia="Times New Roman" w:hAnsi="Times New Roman" w:cs="Times New Roman"/>
                <w:b w:val="0"/>
                <w:i w:val="0"/>
                <w:vanish w:val="0"/>
                <w:color w:val="000000"/>
                <w:sz w:val="24"/>
              </w:rPr>
              <w:t xml:space="preserve">operativne zmogljivosti </w:t>
            </w:r>
            <w:r>
              <w:rPr>
                <w:rFonts w:ascii="Times New Roman" w:eastAsia="Times New Roman" w:hAnsi="Times New Roman" w:cs="Times New Roman"/>
                <w:b w:val="0"/>
                <w:i w:val="0"/>
                <w:vanish w:val="0"/>
                <w:color w:val="000000"/>
                <w:sz w:val="24"/>
              </w:rPr>
              <w:t xml:space="preserve">enot za učinkovit boj proti kriminalu, s fin. podporo SNV 2021-2027, SO3, tj. na področju gospodarskega kriminala na škodo finančnih interesov EU in SI, okoljskega in kibernetskega kriminala ter drugih hudih oblik OK. SNV bo podprl ukrepe za zaščito prič, žvižgačev in žrtev KD ter razvoj partnerstva med javnimi organi in nevladnimi organizacijami in ukrepe s področja usposabljanja. Ključna področja: oprema, licence za dostop podatkovnih baz, IKT oprema, programska oprema, vozila, financiranje programov nevladnih organizacij, usposabljanje, izpopolnjevanje in izobraževanje, </w:t>
            </w:r>
            <w:r>
              <w:rPr>
                <w:rStyle w:val="Strong"/>
                <w:rFonts w:ascii="Times New Roman" w:eastAsia="Times New Roman" w:hAnsi="Times New Roman" w:cs="Times New Roman"/>
                <w:b w:val="0"/>
                <w:i w:val="0"/>
                <w:vanish w:val="0"/>
                <w:color w:val="000000"/>
                <w:sz w:val="24"/>
              </w:rPr>
              <w:t>investicije v učne kapacitete</w:t>
            </w:r>
            <w:r>
              <w:rPr>
                <w:rFonts w:ascii="Times New Roman" w:eastAsia="Times New Roman" w:hAnsi="Times New Roman" w:cs="Times New Roman"/>
                <w:b w:val="0"/>
                <w:i w:val="0"/>
                <w:vanish w:val="0"/>
                <w:color w:val="000000"/>
                <w:sz w:val="24"/>
              </w:rPr>
              <w:t xml:space="preserve"> ter obnovo in nadgradnjo obstoječih vadbenih kapacitet za posebne policijske veščine in protiteroristično vadbo. Dejavnosti usposabljanja bodo usklajene tudi s CEPOL, v izogib podvajanju in za povečanje sinergij. SI je z vstopom Hrvaške v sch. območje izgubila zunanjo kopensko mejo, zato bo na ozemlju SI izvajala naloge za boj proti čezmejnemu kriminalu z namenom zmanjšanja varnostnih tveganj.</w:t>
            </w:r>
          </w:p>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Sedanji okvir kriznega upravljanja, zaščite in odpornosti kritične infrastrukture zaostaja za razvojem tveganj. To terja zmogljivost hitre izmenjave večjih količin podatkov in hitrega odzivanja na zaščitenih komunikacijskih kanalih. Posodobili in nadgradili bomo obstoječe sisteme, saj njihovo oslabljeno delovanje pomeni zmanjšano odpornost na krize in večje tveganje za razvoj kriminala v času krize. Poudarek bo nadgradnja, vzdrževanje in povezljivost informacijsko-komunikacijskih sistemov in centrov v okviru sistema nacionalne varnosti. Za učinkovit in usklajen odziv na krize, povezovanje obstoječih sektorsko specifičnih zmogljivosti kriznega upravljanja in kritične infrastrukture ter zagotovitev ustrezne stopnje odpornosti na hibridne grožnje bo SI izvedla usposabljanja upravljavcev kritične infrastrukture in vajo s tega področja.</w:t>
            </w:r>
          </w:p>
          <w:p w:rsidR="00A77B3E">
            <w:pPr>
              <w:jc w:val="left"/>
              <w:rPr>
                <w:rFonts w:ascii="Times New Roman" w:eastAsia="Times New Roman" w:hAnsi="Times New Roman" w:cs="Times New Roman"/>
                <w:b w:val="0"/>
                <w:i w:val="0"/>
                <w:vanish w:val="0"/>
                <w:color w:val="000000"/>
                <w:sz w:val="24"/>
              </w:rPr>
            </w:pPr>
          </w:p>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Glede na razmere v Ukrajini in povečan pritok beguncev je Sl aktivirala Zakon o začasni zaščiti razseljenih oseb (AMIF). V primeru, da bi razmere v Ukrajini vplivale na notranjo varnost SI, bi se potrebne aktivnosti lahko fin. iz SNV.</w:t>
            </w:r>
          </w:p>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Odgovorni organ za zagotavljanje notranje varnosti je Ministrstvo za notranje zadeve in javno upravo (MNZJU), Policija. Sredstva SNV bodo razdeljena preko neposredne dodelitve in skladno z zakonskimi pristojnostmi s predmetnega področja ter se bodo izvajale skladno z nacionalno zakonodajo, določene vsebine pa na podlagi javnih razpisov (JR). Za uresničevanje ciljev bo policija namenila sredstva SNV in SI proračuna (plače zaposlenih, investicije in drugi mat. stroški).</w:t>
            </w:r>
          </w:p>
          <w:p w:rsidR="00A77B3E">
            <w:pPr>
              <w:jc w:val="left"/>
              <w:rPr>
                <w:rFonts w:ascii="Times New Roman" w:eastAsia="Times New Roman" w:hAnsi="Times New Roman" w:cs="Times New Roman"/>
                <w:b w:val="0"/>
                <w:i w:val="0"/>
                <w:vanish w:val="0"/>
                <w:color w:val="000000"/>
                <w:sz w:val="24"/>
              </w:rPr>
            </w:pPr>
            <w:r>
              <w:rPr>
                <w:rStyle w:val="Strong"/>
                <w:rFonts w:ascii="Times New Roman" w:eastAsia="Times New Roman" w:hAnsi="Times New Roman" w:cs="Times New Roman"/>
                <w:b w:val="0"/>
                <w:i w:val="0"/>
                <w:vanish w:val="0"/>
                <w:color w:val="000000"/>
                <w:sz w:val="24"/>
              </w:rPr>
              <w:t>Sistem upravljanja in nadzora</w:t>
            </w:r>
            <w:r>
              <w:rPr>
                <w:rFonts w:ascii="Times New Roman" w:eastAsia="Times New Roman" w:hAnsi="Times New Roman" w:cs="Times New Roman"/>
                <w:b w:val="0"/>
                <w:i w:val="0"/>
                <w:vanish w:val="0"/>
                <w:color w:val="000000"/>
                <w:sz w:val="24"/>
              </w:rPr>
              <w:t>: SI bo ohranila sistem iz obstoječe fin. sheme. Organ upravljanja (OU) je MNZJU, Služba za evropska sredstva, Projektna enota za sklade notranje varnosti in migracij, revizijski organ (RO) je Ministrstvo za finance, Urad za nadzor proračuna ter dve posredniški telesi izvajata prenesene naloge OU. Za izvajanje finančnih transakcij med EU in državnim proračunom je pooblaščeno MF, Direktorat za proračun ter ekonomsko in fiskalno politiko, Sektor za upravljanje s sredstvi EU/CA, za izvedbo JR pa posredniško telo za operacije, ki se izvajajo na podlagi JR. Operacije financirane iz skladov izvajajo upravičenci - osebe javnega prava (neposredna dodelitev, zaradi posebne narave operacije, tehnične ali administrativne pristojnosti) ali organizacije, izbrane na podlagi JR.</w:t>
            </w:r>
          </w:p>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SI bo prejela več sredstev kot v prejšnji shemi: organi bodo vlagali v krepitev kadrovskih zmogljivosti (OU iz 5 na10, RO iz 2 na 3), poenostavitev stroškov in kontrol -kontrole na vzorcih.</w:t>
            </w:r>
          </w:p>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SI bo skladno z izkušnjami iz 2014-2020 in priporočili EK pri javnih razpisih uporabila poenostavitev izračuna neposrednih stroškov dela, po 55. členu CPR, in sicer poenostavljene stroške na enoto, ki jih bo za DG HOME izračunal Public Policy and Management Institute. Zaenkrat ni predvidena uporaba finančnih instrumentov ali mešanega financiranja.</w:t>
            </w:r>
          </w:p>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Vrste intervencij z vrednostjo 0 EUR v tabeli 3, so v Program vključene v primeru morebitnih prihodnjih potreb, povezanih z izvajanjem tematskega instrumenta, v skladu s členom 22(4)(d) CPR.</w:t>
            </w:r>
          </w:p>
          <w:p w:rsidR="00A77B3E">
            <w:pPr>
              <w:jc w:val="left"/>
              <w:rPr>
                <w:rFonts w:ascii="Times New Roman" w:eastAsia="Times New Roman" w:hAnsi="Times New Roman" w:cs="Times New Roman"/>
                <w:b w:val="0"/>
                <w:i w:val="0"/>
                <w:vanish w:val="0"/>
                <w:color w:val="000000"/>
                <w:sz w:val="6"/>
              </w:rPr>
            </w:pPr>
          </w:p>
          <w:p w:rsidR="00A77B3E">
            <w:pPr>
              <w:jc w:val="left"/>
              <w:rPr>
                <w:rFonts w:ascii="Times New Roman" w:eastAsia="Times New Roman" w:hAnsi="Times New Roman" w:cs="Times New Roman"/>
                <w:b w:val="0"/>
                <w:i w:val="0"/>
                <w:vanish w:val="0"/>
                <w:color w:val="000000"/>
                <w:sz w:val="6"/>
              </w:rPr>
            </w:pPr>
          </w:p>
        </w:tc>
      </w:tr>
    </w:tbl>
    <w:p w:rsidR="00A77B3E">
      <w:pPr>
        <w:jc w:val="left"/>
        <w:rPr>
          <w:rFonts w:ascii="Times New Roman" w:eastAsia="Times New Roman" w:hAnsi="Times New Roman" w:cs="Times New Roman"/>
          <w:b w:val="0"/>
          <w:i w:val="0"/>
          <w:vanish w:val="0"/>
          <w:color w:val="000000"/>
          <w:sz w:val="24"/>
        </w:rPr>
        <w:sectPr>
          <w:headerReference w:type="even" r:id="rId4"/>
          <w:headerReference w:type="default" r:id="rId5"/>
          <w:footerReference w:type="even" r:id="rId6"/>
          <w:footerReference w:type="default" r:id="rId7"/>
          <w:headerReference w:type="first" r:id="rId8"/>
          <w:footerReference w:type="first" r:id="rId9"/>
          <w:pgSz w:w="11906" w:h="16838"/>
          <w:pgMar w:top="720" w:right="936" w:bottom="864" w:left="720" w:header="0" w:footer="72" w:gutter="0"/>
          <w:cols w:space="708"/>
          <w:noEndnote/>
          <w:docGrid w:linePitch="360"/>
        </w:sectPr>
      </w:pPr>
    </w:p>
    <w:p w:rsidR="00A77B3E">
      <w:pPr>
        <w:pStyle w:val="Heading1"/>
        <w:spacing w:before="100" w:after="0"/>
        <w:jc w:val="left"/>
        <w:rPr>
          <w:rFonts w:ascii="Times New Roman" w:eastAsia="Times New Roman" w:hAnsi="Times New Roman" w:cs="Times New Roman"/>
          <w:b w:val="0"/>
          <w:i w:val="0"/>
          <w:vanish w:val="0"/>
          <w:color w:val="000000"/>
          <w:sz w:val="24"/>
        </w:rPr>
      </w:pPr>
      <w:bookmarkStart w:id="1" w:name="_Toc256000056"/>
      <w:r>
        <w:rPr>
          <w:rFonts w:ascii="Times New Roman" w:eastAsia="Times New Roman" w:hAnsi="Times New Roman" w:cs="Times New Roman"/>
          <w:b w:val="0"/>
          <w:i w:val="0"/>
          <w:vanish w:val="0"/>
          <w:color w:val="000000"/>
          <w:sz w:val="24"/>
        </w:rPr>
        <w:t>2. Specifični cilji in tehnična pomoč</w:t>
      </w:r>
      <w:bookmarkEnd w:id="1"/>
    </w:p>
    <w:p w:rsidR="00A77B3E">
      <w:pPr>
        <w:spacing w:before="100" w:after="0"/>
        <w:jc w:val="left"/>
        <w:rPr>
          <w:rFonts w:ascii="Times New Roman" w:eastAsia="Times New Roman" w:hAnsi="Times New Roman" w:cs="Times New Roman"/>
          <w:b w:val="0"/>
          <w:i w:val="0"/>
          <w:vanish w:val="0"/>
          <w:color w:val="000000"/>
          <w:sz w:val="0"/>
        </w:rPr>
      </w:pPr>
    </w:p>
    <w:p w:rsidR="00A77B3E">
      <w:pPr>
        <w:spacing w:before="100" w:after="0"/>
        <w:jc w:val="left"/>
        <w:rPr>
          <w:rFonts w:ascii="Times New Roman" w:eastAsia="Times New Roman" w:hAnsi="Times New Roman" w:cs="Times New Roman"/>
          <w:b w:val="0"/>
          <w:i w:val="0"/>
          <w:vanish w:val="0"/>
          <w:color w:val="000000"/>
          <w:sz w:val="12"/>
        </w:rPr>
      </w:pPr>
      <w:r>
        <w:rPr>
          <w:rFonts w:ascii="Times New Roman" w:eastAsia="Times New Roman" w:hAnsi="Times New Roman" w:cs="Times New Roman"/>
          <w:b w:val="0"/>
          <w:i w:val="0"/>
          <w:vanish w:val="0"/>
          <w:color w:val="000000"/>
          <w:sz w:val="24"/>
        </w:rPr>
        <w:t>Sklic: člen 22(2) in (4) uredbe o skupnih določbah</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2592"/>
        <w:gridCol w:w="5185"/>
        <w:gridCol w:w="2593"/>
      </w:tblGrid>
      <w:tr>
        <w:tblPrEx>
          <w:tblW w:w="5000" w:type="pct"/>
        </w:tblPrEx>
        <w:trPr>
          <w:cantSplit w:val="0"/>
          <w:trHeight w:val="160"/>
          <w:tblHeader/>
        </w:trPr>
        <w:tc>
          <w:tcPr>
            <w:tcW w:w="6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Izbrano</w:t>
            </w:r>
          </w:p>
        </w:tc>
        <w:tc>
          <w:tcPr>
            <w:tcW w:w="4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Specifični cilj ali tehnična pomoč</w:t>
            </w:r>
          </w:p>
        </w:tc>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Vrsta ukrepa</w:t>
            </w:r>
          </w:p>
        </w:tc>
      </w:tr>
      <w:tr>
        <w:tblPrEx>
          <w:tblW w:w="5000" w:type="pct"/>
        </w:tblPrEx>
        <w:trPr>
          <w:cantSplit w:val="0"/>
          <w:trHeight w:val="160"/>
          <w:tblHeader w:val="0"/>
        </w:trPr>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fldChar w:fldCharType="begin">
                <w:ffData>
                  <w:name w:val=""/>
                  <w:enabled/>
                  <w:calcOnExit w:val="0"/>
                  <w:checkBox>
                    <w:size w:val="20"/>
                    <w:default w:val="1"/>
                    <w:checked w:val="1"/>
                  </w:checkBox>
                </w:ffData>
              </w:fldChar>
            </w:r>
            <w:r>
              <w:rPr>
                <w:rFonts w:ascii="Times New Roman" w:eastAsia="Times New Roman" w:hAnsi="Times New Roman" w:cs="Times New Roman"/>
                <w:b w:val="0"/>
                <w:i w:val="0"/>
                <w:vanish w:val="0"/>
                <w:color w:val="000000"/>
                <w:sz w:val="24"/>
              </w:rPr>
              <w:instrText xml:space="preserve"> FORMCHECKBOX </w:instrText>
            </w:r>
            <w:r>
              <w:rPr>
                <w:rFonts w:ascii="Times New Roman" w:eastAsia="Times New Roman" w:hAnsi="Times New Roman" w:cs="Times New Roman"/>
                <w:b w:val="0"/>
                <w:i w:val="0"/>
                <w:vanish w:val="0"/>
                <w:color w:val="000000"/>
                <w:sz w:val="24"/>
              </w:rPr>
              <w:fldChar w:fldCharType="end"/>
            </w:r>
            <w:r>
              <w:rPr>
                <w:rFonts w:ascii="Times New Roman" w:eastAsia="Times New Roman" w:hAnsi="Times New Roman" w:cs="Times New Roman"/>
                <w:b w:val="0"/>
                <w:i w:val="0"/>
                <w:vanish w:val="0"/>
                <w:color w:val="000000"/>
                <w:sz w:val="24"/>
              </w:rPr>
              <w:t xml:space="preserve"> </w:t>
            </w:r>
          </w:p>
        </w:tc>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1. Izmenjava informacij</w:t>
            </w:r>
          </w:p>
        </w:tc>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Redni ukrepi</w:t>
            </w:r>
          </w:p>
        </w:tc>
      </w:tr>
      <w:tr>
        <w:tblPrEx>
          <w:tblW w:w="5000" w:type="pct"/>
        </w:tblPrEx>
        <w:trPr>
          <w:cantSplit w:val="0"/>
          <w:trHeight w:val="160"/>
          <w:tblHeader w:val="0"/>
        </w:trPr>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fldChar w:fldCharType="begin">
                <w:ffData>
                  <w:name w:val=""/>
                  <w:enabled/>
                  <w:calcOnExit w:val="0"/>
                  <w:checkBox>
                    <w:size w:val="20"/>
                    <w:default w:val="0"/>
                    <w:checked w:val="0"/>
                  </w:checkBox>
                </w:ffData>
              </w:fldChar>
            </w:r>
            <w:r>
              <w:rPr>
                <w:rFonts w:ascii="Times New Roman" w:eastAsia="Times New Roman" w:hAnsi="Times New Roman" w:cs="Times New Roman"/>
                <w:b w:val="0"/>
                <w:i w:val="0"/>
                <w:vanish w:val="0"/>
                <w:color w:val="000000"/>
                <w:sz w:val="24"/>
              </w:rPr>
              <w:instrText xml:space="preserve"> FORMCHECKBOX </w:instrText>
            </w:r>
            <w:r>
              <w:rPr>
                <w:rFonts w:ascii="Times New Roman" w:eastAsia="Times New Roman" w:hAnsi="Times New Roman" w:cs="Times New Roman"/>
                <w:b w:val="0"/>
                <w:i w:val="0"/>
                <w:vanish w:val="0"/>
                <w:color w:val="000000"/>
                <w:sz w:val="24"/>
              </w:rPr>
              <w:fldChar w:fldCharType="end"/>
            </w:r>
            <w:r>
              <w:rPr>
                <w:rFonts w:ascii="Times New Roman" w:eastAsia="Times New Roman" w:hAnsi="Times New Roman" w:cs="Times New Roman"/>
                <w:b w:val="0"/>
                <w:i w:val="0"/>
                <w:vanish w:val="0"/>
                <w:color w:val="000000"/>
                <w:sz w:val="24"/>
              </w:rPr>
              <w:t xml:space="preserve"> </w:t>
            </w:r>
          </w:p>
        </w:tc>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1. Izmenjava informacij</w:t>
            </w:r>
          </w:p>
        </w:tc>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Posebni ukrepi</w:t>
            </w:r>
          </w:p>
        </w:tc>
      </w:tr>
      <w:tr>
        <w:tblPrEx>
          <w:tblW w:w="5000" w:type="pct"/>
        </w:tblPrEx>
        <w:trPr>
          <w:cantSplit w:val="0"/>
          <w:trHeight w:val="160"/>
          <w:tblHeader w:val="0"/>
        </w:trPr>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fldChar w:fldCharType="begin">
                <w:ffData>
                  <w:name w:val=""/>
                  <w:enabled/>
                  <w:calcOnExit w:val="0"/>
                  <w:checkBox>
                    <w:size w:val="20"/>
                    <w:default w:val="1"/>
                    <w:checked w:val="1"/>
                  </w:checkBox>
                </w:ffData>
              </w:fldChar>
            </w:r>
            <w:r>
              <w:rPr>
                <w:rFonts w:ascii="Times New Roman" w:eastAsia="Times New Roman" w:hAnsi="Times New Roman" w:cs="Times New Roman"/>
                <w:b w:val="0"/>
                <w:i w:val="0"/>
                <w:vanish w:val="0"/>
                <w:color w:val="000000"/>
                <w:sz w:val="24"/>
              </w:rPr>
              <w:instrText xml:space="preserve"> FORMCHECKBOX </w:instrText>
            </w:r>
            <w:r>
              <w:rPr>
                <w:rFonts w:ascii="Times New Roman" w:eastAsia="Times New Roman" w:hAnsi="Times New Roman" w:cs="Times New Roman"/>
                <w:b w:val="0"/>
                <w:i w:val="0"/>
                <w:vanish w:val="0"/>
                <w:color w:val="000000"/>
                <w:sz w:val="24"/>
              </w:rPr>
              <w:fldChar w:fldCharType="end"/>
            </w:r>
            <w:r>
              <w:rPr>
                <w:rFonts w:ascii="Times New Roman" w:eastAsia="Times New Roman" w:hAnsi="Times New Roman" w:cs="Times New Roman"/>
                <w:b w:val="0"/>
                <w:i w:val="0"/>
                <w:vanish w:val="0"/>
                <w:color w:val="000000"/>
                <w:sz w:val="24"/>
              </w:rPr>
              <w:t xml:space="preserve"> </w:t>
            </w:r>
          </w:p>
        </w:tc>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1. Izmenjava informacij</w:t>
            </w:r>
          </w:p>
        </w:tc>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Ukrepi iz Priloge IV</w:t>
            </w:r>
          </w:p>
        </w:tc>
      </w:tr>
      <w:tr>
        <w:tblPrEx>
          <w:tblW w:w="5000" w:type="pct"/>
        </w:tblPrEx>
        <w:trPr>
          <w:cantSplit w:val="0"/>
          <w:trHeight w:val="160"/>
          <w:tblHeader w:val="0"/>
        </w:trPr>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fldChar w:fldCharType="begin">
                <w:ffData>
                  <w:name w:val=""/>
                  <w:enabled/>
                  <w:calcOnExit w:val="0"/>
                  <w:checkBox>
                    <w:size w:val="20"/>
                    <w:default w:val="1"/>
                    <w:checked w:val="1"/>
                  </w:checkBox>
                </w:ffData>
              </w:fldChar>
            </w:r>
            <w:r>
              <w:rPr>
                <w:rFonts w:ascii="Times New Roman" w:eastAsia="Times New Roman" w:hAnsi="Times New Roman" w:cs="Times New Roman"/>
                <w:b w:val="0"/>
                <w:i w:val="0"/>
                <w:vanish w:val="0"/>
                <w:color w:val="000000"/>
                <w:sz w:val="24"/>
              </w:rPr>
              <w:instrText xml:space="preserve"> FORMCHECKBOX </w:instrText>
            </w:r>
            <w:r>
              <w:rPr>
                <w:rFonts w:ascii="Times New Roman" w:eastAsia="Times New Roman" w:hAnsi="Times New Roman" w:cs="Times New Roman"/>
                <w:b w:val="0"/>
                <w:i w:val="0"/>
                <w:vanish w:val="0"/>
                <w:color w:val="000000"/>
                <w:sz w:val="24"/>
              </w:rPr>
              <w:fldChar w:fldCharType="end"/>
            </w:r>
            <w:r>
              <w:rPr>
                <w:rFonts w:ascii="Times New Roman" w:eastAsia="Times New Roman" w:hAnsi="Times New Roman" w:cs="Times New Roman"/>
                <w:b w:val="0"/>
                <w:i w:val="0"/>
                <w:vanish w:val="0"/>
                <w:color w:val="000000"/>
                <w:sz w:val="24"/>
              </w:rPr>
              <w:t xml:space="preserve"> </w:t>
            </w:r>
          </w:p>
        </w:tc>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1. Izmenjava informacij</w:t>
            </w:r>
          </w:p>
        </w:tc>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Operativna podpora</w:t>
            </w:r>
          </w:p>
        </w:tc>
      </w:tr>
      <w:tr>
        <w:tblPrEx>
          <w:tblW w:w="5000" w:type="pct"/>
        </w:tblPrEx>
        <w:trPr>
          <w:cantSplit w:val="0"/>
          <w:trHeight w:val="160"/>
          <w:tblHeader w:val="0"/>
        </w:trPr>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fldChar w:fldCharType="begin">
                <w:ffData>
                  <w:name w:val=""/>
                  <w:enabled/>
                  <w:calcOnExit w:val="0"/>
                  <w:checkBox>
                    <w:size w:val="20"/>
                    <w:default w:val="0"/>
                    <w:checked w:val="0"/>
                  </w:checkBox>
                </w:ffData>
              </w:fldChar>
            </w:r>
            <w:r>
              <w:rPr>
                <w:rFonts w:ascii="Times New Roman" w:eastAsia="Times New Roman" w:hAnsi="Times New Roman" w:cs="Times New Roman"/>
                <w:b w:val="0"/>
                <w:i w:val="0"/>
                <w:vanish w:val="0"/>
                <w:color w:val="000000"/>
                <w:sz w:val="24"/>
              </w:rPr>
              <w:instrText xml:space="preserve"> FORMCHECKBOX </w:instrText>
            </w:r>
            <w:r>
              <w:rPr>
                <w:rFonts w:ascii="Times New Roman" w:eastAsia="Times New Roman" w:hAnsi="Times New Roman" w:cs="Times New Roman"/>
                <w:b w:val="0"/>
                <w:i w:val="0"/>
                <w:vanish w:val="0"/>
                <w:color w:val="000000"/>
                <w:sz w:val="24"/>
              </w:rPr>
              <w:fldChar w:fldCharType="end"/>
            </w:r>
            <w:r>
              <w:rPr>
                <w:rFonts w:ascii="Times New Roman" w:eastAsia="Times New Roman" w:hAnsi="Times New Roman" w:cs="Times New Roman"/>
                <w:b w:val="0"/>
                <w:i w:val="0"/>
                <w:vanish w:val="0"/>
                <w:color w:val="000000"/>
                <w:sz w:val="24"/>
              </w:rPr>
              <w:t xml:space="preserve"> </w:t>
            </w:r>
          </w:p>
        </w:tc>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1. Izmenjava informacij</w:t>
            </w:r>
          </w:p>
        </w:tc>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Nujna pomoč</w:t>
            </w:r>
          </w:p>
        </w:tc>
      </w:tr>
      <w:tr>
        <w:tblPrEx>
          <w:tblW w:w="5000" w:type="pct"/>
        </w:tblPrEx>
        <w:trPr>
          <w:cantSplit w:val="0"/>
          <w:trHeight w:val="160"/>
          <w:tblHeader w:val="0"/>
        </w:trPr>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fldChar w:fldCharType="begin">
                <w:ffData>
                  <w:name w:val=""/>
                  <w:enabled/>
                  <w:calcOnExit w:val="0"/>
                  <w:checkBox>
                    <w:size w:val="20"/>
                    <w:default w:val="1"/>
                    <w:checked w:val="1"/>
                  </w:checkBox>
                </w:ffData>
              </w:fldChar>
            </w:r>
            <w:r>
              <w:rPr>
                <w:rFonts w:ascii="Times New Roman" w:eastAsia="Times New Roman" w:hAnsi="Times New Roman" w:cs="Times New Roman"/>
                <w:b w:val="0"/>
                <w:i w:val="0"/>
                <w:vanish w:val="0"/>
                <w:color w:val="000000"/>
                <w:sz w:val="24"/>
              </w:rPr>
              <w:instrText xml:space="preserve"> FORMCHECKBOX </w:instrText>
            </w:r>
            <w:r>
              <w:rPr>
                <w:rFonts w:ascii="Times New Roman" w:eastAsia="Times New Roman" w:hAnsi="Times New Roman" w:cs="Times New Roman"/>
                <w:b w:val="0"/>
                <w:i w:val="0"/>
                <w:vanish w:val="0"/>
                <w:color w:val="000000"/>
                <w:sz w:val="24"/>
              </w:rPr>
              <w:fldChar w:fldCharType="end"/>
            </w:r>
            <w:r>
              <w:rPr>
                <w:rFonts w:ascii="Times New Roman" w:eastAsia="Times New Roman" w:hAnsi="Times New Roman" w:cs="Times New Roman"/>
                <w:b w:val="0"/>
                <w:i w:val="0"/>
                <w:vanish w:val="0"/>
                <w:color w:val="000000"/>
                <w:sz w:val="24"/>
              </w:rPr>
              <w:t xml:space="preserve"> </w:t>
            </w:r>
          </w:p>
        </w:tc>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2. Čezmejno sodelovanje</w:t>
            </w:r>
          </w:p>
        </w:tc>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Redni ukrepi</w:t>
            </w:r>
          </w:p>
        </w:tc>
      </w:tr>
      <w:tr>
        <w:tblPrEx>
          <w:tblW w:w="5000" w:type="pct"/>
        </w:tblPrEx>
        <w:trPr>
          <w:cantSplit w:val="0"/>
          <w:trHeight w:val="160"/>
          <w:tblHeader w:val="0"/>
        </w:trPr>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fldChar w:fldCharType="begin">
                <w:ffData>
                  <w:name w:val=""/>
                  <w:enabled/>
                  <w:calcOnExit w:val="0"/>
                  <w:checkBox>
                    <w:size w:val="20"/>
                    <w:default w:val="1"/>
                    <w:checked w:val="1"/>
                  </w:checkBox>
                </w:ffData>
              </w:fldChar>
            </w:r>
            <w:r>
              <w:rPr>
                <w:rFonts w:ascii="Times New Roman" w:eastAsia="Times New Roman" w:hAnsi="Times New Roman" w:cs="Times New Roman"/>
                <w:b w:val="0"/>
                <w:i w:val="0"/>
                <w:vanish w:val="0"/>
                <w:color w:val="000000"/>
                <w:sz w:val="24"/>
              </w:rPr>
              <w:instrText xml:space="preserve"> FORMCHECKBOX </w:instrText>
            </w:r>
            <w:r>
              <w:rPr>
                <w:rFonts w:ascii="Times New Roman" w:eastAsia="Times New Roman" w:hAnsi="Times New Roman" w:cs="Times New Roman"/>
                <w:b w:val="0"/>
                <w:i w:val="0"/>
                <w:vanish w:val="0"/>
                <w:color w:val="000000"/>
                <w:sz w:val="24"/>
              </w:rPr>
              <w:fldChar w:fldCharType="end"/>
            </w:r>
            <w:r>
              <w:rPr>
                <w:rFonts w:ascii="Times New Roman" w:eastAsia="Times New Roman" w:hAnsi="Times New Roman" w:cs="Times New Roman"/>
                <w:b w:val="0"/>
                <w:i w:val="0"/>
                <w:vanish w:val="0"/>
                <w:color w:val="000000"/>
                <w:sz w:val="24"/>
              </w:rPr>
              <w:t xml:space="preserve"> </w:t>
            </w:r>
          </w:p>
        </w:tc>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2. Čezmejno sodelovanje</w:t>
            </w:r>
          </w:p>
        </w:tc>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Posebni ukrepi</w:t>
            </w:r>
          </w:p>
        </w:tc>
      </w:tr>
      <w:tr>
        <w:tblPrEx>
          <w:tblW w:w="5000" w:type="pct"/>
        </w:tblPrEx>
        <w:trPr>
          <w:cantSplit w:val="0"/>
          <w:trHeight w:val="160"/>
          <w:tblHeader w:val="0"/>
        </w:trPr>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fldChar w:fldCharType="begin">
                <w:ffData>
                  <w:name w:val=""/>
                  <w:enabled/>
                  <w:calcOnExit w:val="0"/>
                  <w:checkBox>
                    <w:size w:val="20"/>
                    <w:default w:val="1"/>
                    <w:checked w:val="1"/>
                  </w:checkBox>
                </w:ffData>
              </w:fldChar>
            </w:r>
            <w:r>
              <w:rPr>
                <w:rFonts w:ascii="Times New Roman" w:eastAsia="Times New Roman" w:hAnsi="Times New Roman" w:cs="Times New Roman"/>
                <w:b w:val="0"/>
                <w:i w:val="0"/>
                <w:vanish w:val="0"/>
                <w:color w:val="000000"/>
                <w:sz w:val="24"/>
              </w:rPr>
              <w:instrText xml:space="preserve"> FORMCHECKBOX </w:instrText>
            </w:r>
            <w:r>
              <w:rPr>
                <w:rFonts w:ascii="Times New Roman" w:eastAsia="Times New Roman" w:hAnsi="Times New Roman" w:cs="Times New Roman"/>
                <w:b w:val="0"/>
                <w:i w:val="0"/>
                <w:vanish w:val="0"/>
                <w:color w:val="000000"/>
                <w:sz w:val="24"/>
              </w:rPr>
              <w:fldChar w:fldCharType="end"/>
            </w:r>
            <w:r>
              <w:rPr>
                <w:rFonts w:ascii="Times New Roman" w:eastAsia="Times New Roman" w:hAnsi="Times New Roman" w:cs="Times New Roman"/>
                <w:b w:val="0"/>
                <w:i w:val="0"/>
                <w:vanish w:val="0"/>
                <w:color w:val="000000"/>
                <w:sz w:val="24"/>
              </w:rPr>
              <w:t xml:space="preserve"> </w:t>
            </w:r>
          </w:p>
        </w:tc>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2. Čezmejno sodelovanje</w:t>
            </w:r>
          </w:p>
        </w:tc>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Ukrepi iz Priloge IV</w:t>
            </w:r>
          </w:p>
        </w:tc>
      </w:tr>
      <w:tr>
        <w:tblPrEx>
          <w:tblW w:w="5000" w:type="pct"/>
        </w:tblPrEx>
        <w:trPr>
          <w:cantSplit w:val="0"/>
          <w:trHeight w:val="160"/>
          <w:tblHeader w:val="0"/>
        </w:trPr>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fldChar w:fldCharType="begin">
                <w:ffData>
                  <w:name w:val=""/>
                  <w:enabled/>
                  <w:calcOnExit w:val="0"/>
                  <w:checkBox>
                    <w:size w:val="20"/>
                    <w:default w:val="0"/>
                    <w:checked w:val="0"/>
                  </w:checkBox>
                </w:ffData>
              </w:fldChar>
            </w:r>
            <w:r>
              <w:rPr>
                <w:rFonts w:ascii="Times New Roman" w:eastAsia="Times New Roman" w:hAnsi="Times New Roman" w:cs="Times New Roman"/>
                <w:b w:val="0"/>
                <w:i w:val="0"/>
                <w:vanish w:val="0"/>
                <w:color w:val="000000"/>
                <w:sz w:val="24"/>
              </w:rPr>
              <w:instrText xml:space="preserve"> FORMCHECKBOX </w:instrText>
            </w:r>
            <w:r>
              <w:rPr>
                <w:rFonts w:ascii="Times New Roman" w:eastAsia="Times New Roman" w:hAnsi="Times New Roman" w:cs="Times New Roman"/>
                <w:b w:val="0"/>
                <w:i w:val="0"/>
                <w:vanish w:val="0"/>
                <w:color w:val="000000"/>
                <w:sz w:val="24"/>
              </w:rPr>
              <w:fldChar w:fldCharType="end"/>
            </w:r>
            <w:r>
              <w:rPr>
                <w:rFonts w:ascii="Times New Roman" w:eastAsia="Times New Roman" w:hAnsi="Times New Roman" w:cs="Times New Roman"/>
                <w:b w:val="0"/>
                <w:i w:val="0"/>
                <w:vanish w:val="0"/>
                <w:color w:val="000000"/>
                <w:sz w:val="24"/>
              </w:rPr>
              <w:t xml:space="preserve"> </w:t>
            </w:r>
          </w:p>
        </w:tc>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2. Čezmejno sodelovanje</w:t>
            </w:r>
          </w:p>
        </w:tc>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Operativna podpora</w:t>
            </w:r>
          </w:p>
        </w:tc>
      </w:tr>
      <w:tr>
        <w:tblPrEx>
          <w:tblW w:w="5000" w:type="pct"/>
        </w:tblPrEx>
        <w:trPr>
          <w:cantSplit w:val="0"/>
          <w:trHeight w:val="160"/>
          <w:tblHeader w:val="0"/>
        </w:trPr>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fldChar w:fldCharType="begin">
                <w:ffData>
                  <w:name w:val=""/>
                  <w:enabled/>
                  <w:calcOnExit w:val="0"/>
                  <w:checkBox>
                    <w:size w:val="20"/>
                    <w:default w:val="0"/>
                    <w:checked w:val="0"/>
                  </w:checkBox>
                </w:ffData>
              </w:fldChar>
            </w:r>
            <w:r>
              <w:rPr>
                <w:rFonts w:ascii="Times New Roman" w:eastAsia="Times New Roman" w:hAnsi="Times New Roman" w:cs="Times New Roman"/>
                <w:b w:val="0"/>
                <w:i w:val="0"/>
                <w:vanish w:val="0"/>
                <w:color w:val="000000"/>
                <w:sz w:val="24"/>
              </w:rPr>
              <w:instrText xml:space="preserve"> FORMCHECKBOX </w:instrText>
            </w:r>
            <w:r>
              <w:rPr>
                <w:rFonts w:ascii="Times New Roman" w:eastAsia="Times New Roman" w:hAnsi="Times New Roman" w:cs="Times New Roman"/>
                <w:b w:val="0"/>
                <w:i w:val="0"/>
                <w:vanish w:val="0"/>
                <w:color w:val="000000"/>
                <w:sz w:val="24"/>
              </w:rPr>
              <w:fldChar w:fldCharType="end"/>
            </w:r>
            <w:r>
              <w:rPr>
                <w:rFonts w:ascii="Times New Roman" w:eastAsia="Times New Roman" w:hAnsi="Times New Roman" w:cs="Times New Roman"/>
                <w:b w:val="0"/>
                <w:i w:val="0"/>
                <w:vanish w:val="0"/>
                <w:color w:val="000000"/>
                <w:sz w:val="24"/>
              </w:rPr>
              <w:t xml:space="preserve"> </w:t>
            </w:r>
          </w:p>
        </w:tc>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2. Čezmejno sodelovanje</w:t>
            </w:r>
          </w:p>
        </w:tc>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Nujna pomoč</w:t>
            </w:r>
          </w:p>
        </w:tc>
      </w:tr>
      <w:tr>
        <w:tblPrEx>
          <w:tblW w:w="5000" w:type="pct"/>
        </w:tblPrEx>
        <w:trPr>
          <w:cantSplit w:val="0"/>
          <w:trHeight w:val="160"/>
          <w:tblHeader w:val="0"/>
        </w:trPr>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fldChar w:fldCharType="begin">
                <w:ffData>
                  <w:name w:val=""/>
                  <w:enabled/>
                  <w:calcOnExit w:val="0"/>
                  <w:checkBox>
                    <w:size w:val="20"/>
                    <w:default w:val="1"/>
                    <w:checked w:val="1"/>
                  </w:checkBox>
                </w:ffData>
              </w:fldChar>
            </w:r>
            <w:r>
              <w:rPr>
                <w:rFonts w:ascii="Times New Roman" w:eastAsia="Times New Roman" w:hAnsi="Times New Roman" w:cs="Times New Roman"/>
                <w:b w:val="0"/>
                <w:i w:val="0"/>
                <w:vanish w:val="0"/>
                <w:color w:val="000000"/>
                <w:sz w:val="24"/>
              </w:rPr>
              <w:instrText xml:space="preserve"> FORMCHECKBOX </w:instrText>
            </w:r>
            <w:r>
              <w:rPr>
                <w:rFonts w:ascii="Times New Roman" w:eastAsia="Times New Roman" w:hAnsi="Times New Roman" w:cs="Times New Roman"/>
                <w:b w:val="0"/>
                <w:i w:val="0"/>
                <w:vanish w:val="0"/>
                <w:color w:val="000000"/>
                <w:sz w:val="24"/>
              </w:rPr>
              <w:fldChar w:fldCharType="end"/>
            </w:r>
            <w:r>
              <w:rPr>
                <w:rFonts w:ascii="Times New Roman" w:eastAsia="Times New Roman" w:hAnsi="Times New Roman" w:cs="Times New Roman"/>
                <w:b w:val="0"/>
                <w:i w:val="0"/>
                <w:vanish w:val="0"/>
                <w:color w:val="000000"/>
                <w:sz w:val="24"/>
              </w:rPr>
              <w:t xml:space="preserve"> </w:t>
            </w:r>
          </w:p>
        </w:tc>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3. Preprečevanje kriminala in boj proti njemu</w:t>
            </w:r>
          </w:p>
        </w:tc>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Redni ukrepi</w:t>
            </w:r>
          </w:p>
        </w:tc>
      </w:tr>
      <w:tr>
        <w:tblPrEx>
          <w:tblW w:w="5000" w:type="pct"/>
        </w:tblPrEx>
        <w:trPr>
          <w:cantSplit w:val="0"/>
          <w:trHeight w:val="160"/>
          <w:tblHeader w:val="0"/>
        </w:trPr>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fldChar w:fldCharType="begin">
                <w:ffData>
                  <w:name w:val=""/>
                  <w:enabled/>
                  <w:calcOnExit w:val="0"/>
                  <w:checkBox>
                    <w:size w:val="20"/>
                    <w:default w:val="0"/>
                    <w:checked w:val="0"/>
                  </w:checkBox>
                </w:ffData>
              </w:fldChar>
            </w:r>
            <w:r>
              <w:rPr>
                <w:rFonts w:ascii="Times New Roman" w:eastAsia="Times New Roman" w:hAnsi="Times New Roman" w:cs="Times New Roman"/>
                <w:b w:val="0"/>
                <w:i w:val="0"/>
                <w:vanish w:val="0"/>
                <w:color w:val="000000"/>
                <w:sz w:val="24"/>
              </w:rPr>
              <w:instrText xml:space="preserve"> FORMCHECKBOX </w:instrText>
            </w:r>
            <w:r>
              <w:rPr>
                <w:rFonts w:ascii="Times New Roman" w:eastAsia="Times New Roman" w:hAnsi="Times New Roman" w:cs="Times New Roman"/>
                <w:b w:val="0"/>
                <w:i w:val="0"/>
                <w:vanish w:val="0"/>
                <w:color w:val="000000"/>
                <w:sz w:val="24"/>
              </w:rPr>
              <w:fldChar w:fldCharType="end"/>
            </w:r>
            <w:r>
              <w:rPr>
                <w:rFonts w:ascii="Times New Roman" w:eastAsia="Times New Roman" w:hAnsi="Times New Roman" w:cs="Times New Roman"/>
                <w:b w:val="0"/>
                <w:i w:val="0"/>
                <w:vanish w:val="0"/>
                <w:color w:val="000000"/>
                <w:sz w:val="24"/>
              </w:rPr>
              <w:t xml:space="preserve"> </w:t>
            </w:r>
          </w:p>
        </w:tc>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3. Preprečevanje kriminala in boj proti njemu</w:t>
            </w:r>
          </w:p>
        </w:tc>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Posebni ukrepi</w:t>
            </w:r>
          </w:p>
        </w:tc>
      </w:tr>
      <w:tr>
        <w:tblPrEx>
          <w:tblW w:w="5000" w:type="pct"/>
        </w:tblPrEx>
        <w:trPr>
          <w:cantSplit w:val="0"/>
          <w:trHeight w:val="160"/>
          <w:tblHeader w:val="0"/>
        </w:trPr>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fldChar w:fldCharType="begin">
                <w:ffData>
                  <w:name w:val=""/>
                  <w:enabled/>
                  <w:calcOnExit w:val="0"/>
                  <w:checkBox>
                    <w:size w:val="20"/>
                    <w:default w:val="1"/>
                    <w:checked w:val="1"/>
                  </w:checkBox>
                </w:ffData>
              </w:fldChar>
            </w:r>
            <w:r>
              <w:rPr>
                <w:rFonts w:ascii="Times New Roman" w:eastAsia="Times New Roman" w:hAnsi="Times New Roman" w:cs="Times New Roman"/>
                <w:b w:val="0"/>
                <w:i w:val="0"/>
                <w:vanish w:val="0"/>
                <w:color w:val="000000"/>
                <w:sz w:val="24"/>
              </w:rPr>
              <w:instrText xml:space="preserve"> FORMCHECKBOX </w:instrText>
            </w:r>
            <w:r>
              <w:rPr>
                <w:rFonts w:ascii="Times New Roman" w:eastAsia="Times New Roman" w:hAnsi="Times New Roman" w:cs="Times New Roman"/>
                <w:b w:val="0"/>
                <w:i w:val="0"/>
                <w:vanish w:val="0"/>
                <w:color w:val="000000"/>
                <w:sz w:val="24"/>
              </w:rPr>
              <w:fldChar w:fldCharType="end"/>
            </w:r>
            <w:r>
              <w:rPr>
                <w:rFonts w:ascii="Times New Roman" w:eastAsia="Times New Roman" w:hAnsi="Times New Roman" w:cs="Times New Roman"/>
                <w:b w:val="0"/>
                <w:i w:val="0"/>
                <w:vanish w:val="0"/>
                <w:color w:val="000000"/>
                <w:sz w:val="24"/>
              </w:rPr>
              <w:t xml:space="preserve"> </w:t>
            </w:r>
          </w:p>
        </w:tc>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3. Preprečevanje kriminala in boj proti njemu</w:t>
            </w:r>
          </w:p>
        </w:tc>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Ukrepi iz Priloge IV</w:t>
            </w:r>
          </w:p>
        </w:tc>
      </w:tr>
      <w:tr>
        <w:tblPrEx>
          <w:tblW w:w="5000" w:type="pct"/>
        </w:tblPrEx>
        <w:trPr>
          <w:cantSplit w:val="0"/>
          <w:trHeight w:val="160"/>
          <w:tblHeader w:val="0"/>
        </w:trPr>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fldChar w:fldCharType="begin">
                <w:ffData>
                  <w:name w:val=""/>
                  <w:enabled/>
                  <w:calcOnExit w:val="0"/>
                  <w:checkBox>
                    <w:size w:val="20"/>
                    <w:default w:val="0"/>
                    <w:checked w:val="0"/>
                  </w:checkBox>
                </w:ffData>
              </w:fldChar>
            </w:r>
            <w:r>
              <w:rPr>
                <w:rFonts w:ascii="Times New Roman" w:eastAsia="Times New Roman" w:hAnsi="Times New Roman" w:cs="Times New Roman"/>
                <w:b w:val="0"/>
                <w:i w:val="0"/>
                <w:vanish w:val="0"/>
                <w:color w:val="000000"/>
                <w:sz w:val="24"/>
              </w:rPr>
              <w:instrText xml:space="preserve"> FORMCHECKBOX </w:instrText>
            </w:r>
            <w:r>
              <w:rPr>
                <w:rFonts w:ascii="Times New Roman" w:eastAsia="Times New Roman" w:hAnsi="Times New Roman" w:cs="Times New Roman"/>
                <w:b w:val="0"/>
                <w:i w:val="0"/>
                <w:vanish w:val="0"/>
                <w:color w:val="000000"/>
                <w:sz w:val="24"/>
              </w:rPr>
              <w:fldChar w:fldCharType="end"/>
            </w:r>
            <w:r>
              <w:rPr>
                <w:rFonts w:ascii="Times New Roman" w:eastAsia="Times New Roman" w:hAnsi="Times New Roman" w:cs="Times New Roman"/>
                <w:b w:val="0"/>
                <w:i w:val="0"/>
                <w:vanish w:val="0"/>
                <w:color w:val="000000"/>
                <w:sz w:val="24"/>
              </w:rPr>
              <w:t xml:space="preserve"> </w:t>
            </w:r>
          </w:p>
        </w:tc>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3. Preprečevanje kriminala in boj proti njemu</w:t>
            </w:r>
          </w:p>
        </w:tc>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Operativna podpora</w:t>
            </w:r>
          </w:p>
        </w:tc>
      </w:tr>
      <w:tr>
        <w:tblPrEx>
          <w:tblW w:w="5000" w:type="pct"/>
        </w:tblPrEx>
        <w:trPr>
          <w:cantSplit w:val="0"/>
          <w:trHeight w:val="160"/>
          <w:tblHeader w:val="0"/>
        </w:trPr>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fldChar w:fldCharType="begin">
                <w:ffData>
                  <w:name w:val=""/>
                  <w:enabled/>
                  <w:calcOnExit w:val="0"/>
                  <w:checkBox>
                    <w:size w:val="20"/>
                    <w:default w:val="0"/>
                    <w:checked w:val="0"/>
                  </w:checkBox>
                </w:ffData>
              </w:fldChar>
            </w:r>
            <w:r>
              <w:rPr>
                <w:rFonts w:ascii="Times New Roman" w:eastAsia="Times New Roman" w:hAnsi="Times New Roman" w:cs="Times New Roman"/>
                <w:b w:val="0"/>
                <w:i w:val="0"/>
                <w:vanish w:val="0"/>
                <w:color w:val="000000"/>
                <w:sz w:val="24"/>
              </w:rPr>
              <w:instrText xml:space="preserve"> FORMCHECKBOX </w:instrText>
            </w:r>
            <w:r>
              <w:rPr>
                <w:rFonts w:ascii="Times New Roman" w:eastAsia="Times New Roman" w:hAnsi="Times New Roman" w:cs="Times New Roman"/>
                <w:b w:val="0"/>
                <w:i w:val="0"/>
                <w:vanish w:val="0"/>
                <w:color w:val="000000"/>
                <w:sz w:val="24"/>
              </w:rPr>
              <w:fldChar w:fldCharType="end"/>
            </w:r>
            <w:r>
              <w:rPr>
                <w:rFonts w:ascii="Times New Roman" w:eastAsia="Times New Roman" w:hAnsi="Times New Roman" w:cs="Times New Roman"/>
                <w:b w:val="0"/>
                <w:i w:val="0"/>
                <w:vanish w:val="0"/>
                <w:color w:val="000000"/>
                <w:sz w:val="24"/>
              </w:rPr>
              <w:t xml:space="preserve"> </w:t>
            </w:r>
          </w:p>
        </w:tc>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3. Preprečevanje kriminala in boj proti njemu</w:t>
            </w:r>
          </w:p>
        </w:tc>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Nujna pomoč</w:t>
            </w:r>
          </w:p>
        </w:tc>
      </w:tr>
      <w:tr>
        <w:tblPrEx>
          <w:tblW w:w="5000" w:type="pct"/>
        </w:tblPrEx>
        <w:trPr>
          <w:cantSplit w:val="0"/>
          <w:trHeight w:val="160"/>
          <w:tblHeader w:val="0"/>
        </w:trPr>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fldChar w:fldCharType="begin">
                <w:ffData>
                  <w:name w:val=""/>
                  <w:enabled/>
                  <w:calcOnExit w:val="0"/>
                  <w:checkBox>
                    <w:size w:val="20"/>
                    <w:default w:val="1"/>
                    <w:checked w:val="1"/>
                  </w:checkBox>
                </w:ffData>
              </w:fldChar>
            </w:r>
            <w:r>
              <w:rPr>
                <w:rFonts w:ascii="Times New Roman" w:eastAsia="Times New Roman" w:hAnsi="Times New Roman" w:cs="Times New Roman"/>
                <w:b w:val="0"/>
                <w:i w:val="0"/>
                <w:vanish w:val="0"/>
                <w:color w:val="000000"/>
                <w:sz w:val="24"/>
              </w:rPr>
              <w:instrText xml:space="preserve"> FORMCHECKBOX </w:instrText>
            </w:r>
            <w:r>
              <w:rPr>
                <w:rFonts w:ascii="Times New Roman" w:eastAsia="Times New Roman" w:hAnsi="Times New Roman" w:cs="Times New Roman"/>
                <w:b w:val="0"/>
                <w:i w:val="0"/>
                <w:vanish w:val="0"/>
                <w:color w:val="000000"/>
                <w:sz w:val="24"/>
              </w:rPr>
              <w:fldChar w:fldCharType="end"/>
            </w:r>
            <w:r>
              <w:rPr>
                <w:rFonts w:ascii="Times New Roman" w:eastAsia="Times New Roman" w:hAnsi="Times New Roman" w:cs="Times New Roman"/>
                <w:b w:val="0"/>
                <w:i w:val="0"/>
                <w:vanish w:val="0"/>
                <w:color w:val="000000"/>
                <w:sz w:val="24"/>
              </w:rPr>
              <w:t xml:space="preserve"> </w:t>
            </w:r>
          </w:p>
        </w:tc>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TA.36(5). Tehnična pomoč – pavšalna stopnja (člen 36(5) uredbe o skupnih določbah)</w:t>
            </w:r>
          </w:p>
        </w:tc>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4"/>
              </w:rPr>
            </w:pPr>
          </w:p>
        </w:tc>
      </w:tr>
      <w:tr>
        <w:tblPrEx>
          <w:tblW w:w="5000" w:type="pct"/>
        </w:tblPrEx>
        <w:trPr>
          <w:cantSplit w:val="0"/>
          <w:trHeight w:val="160"/>
          <w:tblHeader w:val="0"/>
        </w:trPr>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fldChar w:fldCharType="begin">
                <w:ffData>
                  <w:name w:val=""/>
                  <w:enabled/>
                  <w:calcOnExit w:val="0"/>
                  <w:checkBox>
                    <w:size w:val="20"/>
                    <w:default w:val="0"/>
                    <w:checked w:val="0"/>
                  </w:checkBox>
                </w:ffData>
              </w:fldChar>
            </w:r>
            <w:r>
              <w:rPr>
                <w:rFonts w:ascii="Times New Roman" w:eastAsia="Times New Roman" w:hAnsi="Times New Roman" w:cs="Times New Roman"/>
                <w:b w:val="0"/>
                <w:i w:val="0"/>
                <w:vanish w:val="0"/>
                <w:color w:val="000000"/>
                <w:sz w:val="24"/>
              </w:rPr>
              <w:instrText xml:space="preserve"> FORMCHECKBOX </w:instrText>
            </w:r>
            <w:r>
              <w:rPr>
                <w:rFonts w:ascii="Times New Roman" w:eastAsia="Times New Roman" w:hAnsi="Times New Roman" w:cs="Times New Roman"/>
                <w:b w:val="0"/>
                <w:i w:val="0"/>
                <w:vanish w:val="0"/>
                <w:color w:val="000000"/>
                <w:sz w:val="24"/>
              </w:rPr>
              <w:fldChar w:fldCharType="end"/>
            </w:r>
            <w:r>
              <w:rPr>
                <w:rFonts w:ascii="Times New Roman" w:eastAsia="Times New Roman" w:hAnsi="Times New Roman" w:cs="Times New Roman"/>
                <w:b w:val="0"/>
                <w:i w:val="0"/>
                <w:vanish w:val="0"/>
                <w:color w:val="000000"/>
                <w:sz w:val="24"/>
              </w:rPr>
              <w:t xml:space="preserve"> </w:t>
            </w:r>
          </w:p>
        </w:tc>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TA.37. Tehnična pomoč – brez povezanih stroškov (člen 37 uredbe o skupnih določbah)</w:t>
            </w:r>
          </w:p>
        </w:tc>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4"/>
              </w:rPr>
            </w:pPr>
          </w:p>
        </w:tc>
      </w:tr>
    </w:tbl>
    <w:p w:rsidR="00A77B3E">
      <w:pPr>
        <w:spacing w:before="100" w:after="0"/>
        <w:jc w:val="center"/>
        <w:rPr>
          <w:rFonts w:ascii="Times New Roman" w:eastAsia="Times New Roman" w:hAnsi="Times New Roman" w:cs="Times New Roman"/>
          <w:b w:val="0"/>
          <w:i w:val="0"/>
          <w:vanish w:val="0"/>
          <w:color w:val="000000"/>
          <w:sz w:val="24"/>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720" w:right="936" w:bottom="864" w:left="720" w:header="0" w:footer="72" w:gutter="0"/>
          <w:cols w:space="708"/>
          <w:noEndnote/>
          <w:docGrid w:linePitch="360"/>
        </w:sectPr>
      </w:pPr>
    </w:p>
    <w:p w:rsidR="00A77B3E">
      <w:pPr>
        <w:pStyle w:val="Heading2"/>
        <w:spacing w:before="100" w:after="0"/>
        <w:jc w:val="left"/>
        <w:rPr>
          <w:rFonts w:ascii="TimesNewRoman" w:eastAsia="TimesNewRoman" w:hAnsi="TimesNewRoman" w:cs="TimesNewRoman"/>
          <w:b w:val="0"/>
          <w:i w:val="0"/>
          <w:vanish w:val="0"/>
          <w:color w:val="000000"/>
          <w:sz w:val="24"/>
        </w:rPr>
      </w:pPr>
      <w:bookmarkStart w:id="2" w:name="_Toc256000057"/>
      <w:r>
        <w:rPr>
          <w:rFonts w:ascii="TimesNewRoman" w:eastAsia="TimesNewRoman" w:hAnsi="TimesNewRoman" w:cs="TimesNewRoman"/>
          <w:b w:val="0"/>
          <w:i w:val="0"/>
          <w:vanish w:val="0"/>
          <w:color w:val="000000"/>
          <w:sz w:val="24"/>
        </w:rPr>
        <w:t>2.1. Specifični cilj: 1. Izmenjava informacij</w:t>
      </w:r>
      <w:bookmarkEnd w:id="2"/>
    </w:p>
    <w:p w:rsidR="00A77B3E">
      <w:pPr>
        <w:spacing w:before="100" w:after="0"/>
        <w:jc w:val="left"/>
        <w:rPr>
          <w:rFonts w:ascii="TimesNewRoman" w:eastAsia="TimesNewRoman" w:hAnsi="TimesNewRoman" w:cs="TimesNewRoman"/>
          <w:b w:val="0"/>
          <w:i w:val="0"/>
          <w:vanish w:val="0"/>
          <w:color w:val="000000"/>
          <w:sz w:val="0"/>
        </w:rPr>
      </w:pPr>
    </w:p>
    <w:p w:rsidR="00A77B3E">
      <w:pPr>
        <w:pStyle w:val="Heading3"/>
        <w:spacing w:before="100" w:after="0"/>
        <w:jc w:val="left"/>
        <w:rPr>
          <w:rFonts w:ascii="TimesNewRoman" w:eastAsia="TimesNewRoman" w:hAnsi="TimesNewRoman" w:cs="TimesNewRoman"/>
          <w:b w:val="0"/>
          <w:i w:val="0"/>
          <w:vanish w:val="0"/>
          <w:color w:val="000000"/>
          <w:sz w:val="24"/>
        </w:rPr>
      </w:pPr>
      <w:bookmarkStart w:id="3" w:name="_Toc256000058"/>
      <w:r>
        <w:rPr>
          <w:rFonts w:ascii="TimesNewRoman" w:eastAsia="TimesNewRoman" w:hAnsi="TimesNewRoman" w:cs="TimesNewRoman"/>
          <w:b w:val="0"/>
          <w:i w:val="0"/>
          <w:vanish w:val="0"/>
          <w:color w:val="000000"/>
          <w:sz w:val="24"/>
        </w:rPr>
        <w:t>2.1.1. Opis specifičnega cilja</w:t>
      </w:r>
      <w:bookmarkEnd w:id="3"/>
    </w:p>
    <w:p w:rsidR="00A77B3E">
      <w:pPr>
        <w:spacing w:before="100" w:after="0"/>
        <w:jc w:val="left"/>
        <w:rPr>
          <w:rFonts w:ascii="TimesNewRoman" w:eastAsia="TimesNewRoman" w:hAnsi="TimesNewRoman" w:cs="TimesNewRoman"/>
          <w:b w:val="0"/>
          <w:i w:val="0"/>
          <w:vanish w:val="0"/>
          <w:color w:val="000000"/>
          <w:sz w:val="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Pr>
      <w:tblGrid>
        <w:gridCol w:w="10240"/>
      </w:tblGrid>
      <w:tr>
        <w:tblPrEx>
          <w:tblW w:w="5000" w:type="pct"/>
          <w:tblLayout w:type="fixed"/>
        </w:tblPrEx>
        <w:trPr>
          <w:cantSplit w:val="0"/>
          <w:trHeight w:val="160"/>
          <w:tblHeader w:val="0"/>
        </w:trPr>
        <w:tc>
          <w:tcPr>
            <w:tcW w:w="50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0"/>
              </w:rPr>
            </w:pP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Ukrepi Slovenije (SI) bodo v okviru SO1 še naprej osredotočeni na zagotavljanje boljše izmenjave informacij.</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V okviru tega specifičnega cilja bo SI uporabila finančno podporo SNV 2021-2027 za izvajanje ukrepov, ki prispevajo k interoperabilnosti sistemov. Gre za interoperabilnost informacijsko-telekomunikacijskega sistema policije (ITSP) z EU informacijskimi sistemi s področja varnosti za krepitev notranje varnosti EU in SI. Konkretno načrtujemo, da bomo s sredstvi SNV nadgradili strežnike, odjemalce in komunikacijsko omrežje za potrebe izmenjave podatkov s sistemoma SIS in VIS. Financiralo se bo tudi nadaljevanje aktivnosti iz pretekle finančne sheme, kot je opisano v prvem delu tega dokumenta, nove dodatne aktivnosti v nadaljevanju in s tem reševanje izzivov in vrzeli, ki so nastali na tem področju.</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Poleg tega bo financiranje SNV uporabljeno za izvajanje vseh prihodnjih priporočil (področje notranje varnosti in policijskih nalog), ki bodo morebiti izdana po naslednji schengenski evalvaciji.</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Ključni resor je MNZJU, Policija (policija), ki je pristojno za področje izmenjave ustreznih informacij, vzpostavitev in vzdrževanje IT sistemov vezanih na zagotavljanje notranje varnosti. Sredstva sklada bodo dodeljena preko neposredne dodelitve, zaradi zakonskih pristojnosti s predmetnega področja. Sredstva SNV predstavljajo le del sredstev za uresničevanje zastavljenih ciljev na predmetnem področju. Drugi del pa bo zagotovljen iz nacionalnega proračuna SI in bo namenjen predvsem plačam zaposlenih ter drugim materialnim stroškom.</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Znotraj spodaj navedenih izvedbenih ukrepov iz Priloge II (a, d) se bo SI usmerila na področja podpore a, b, d, h, i iz Priloge III in točko 2 iz Priloge IV.</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Pričakovani rezultati:</w:t>
            </w:r>
          </w:p>
          <w:p w:rsidR="00A77B3E">
            <w:pPr>
              <w:numPr>
                <w:ilvl w:val="0"/>
                <w:numId w:val="1"/>
              </w:numPr>
              <w:spacing w:before="100" w:after="0"/>
              <w:ind w:left="720" w:hanging="36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Tehnološka nadgradnja, razvoj in vzdrževanje nacionalnega PNR/API sistema ter vzpostavitev in delovanje NCS DB bo izboljšala in olajšala izmenjavo informacij z DČ EU, uradi in agencijami EU ter s tretjimi državami in mednarodnimi organizacijami. Izvedena bodo ustrezna usposabljanja v skladu z EU STNA 2022-2025.</w:t>
            </w:r>
          </w:p>
          <w:p w:rsidR="00A77B3E">
            <w:pPr>
              <w:numPr>
                <w:ilvl w:val="0"/>
                <w:numId w:val="1"/>
              </w:numPr>
              <w:spacing w:before="100" w:after="0"/>
              <w:ind w:left="720" w:hanging="36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SI bo z novo najsodobnejšo opremo okrepila svoje zmogljivosti za zbiranje, analitsko delo in izmenjavo podatkov na področju preiskav DNK in prepovedanih drog, kar bo pomenilo okrepljeno in bolj kakovostno podporo policijskemu delu, boljše in obsežnejše sodelovanje ter izmenjavo forenzičnih informacij z nacionalnimi in mednarodnimi deležniki.</w:t>
            </w:r>
          </w:p>
          <w:p w:rsidR="00A77B3E">
            <w:pPr>
              <w:numPr>
                <w:ilvl w:val="0"/>
                <w:numId w:val="1"/>
              </w:numPr>
              <w:spacing w:before="100" w:after="0"/>
              <w:ind w:left="720" w:hanging="36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Povečanje zmogljivosti komunikacijskih povezav ter razvoj in vzdrževanje sistema Prümske izmenjave podatkov.</w:t>
            </w:r>
          </w:p>
          <w:p w:rsidR="00A77B3E">
            <w:pPr>
              <w:numPr>
                <w:ilvl w:val="0"/>
                <w:numId w:val="1"/>
              </w:numPr>
              <w:spacing w:before="100" w:after="0"/>
              <w:ind w:left="720" w:hanging="36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Boljša izmenjava informacij na EU ravni.</w:t>
            </w:r>
          </w:p>
          <w:p w:rsidR="00A77B3E">
            <w:pPr>
              <w:numPr>
                <w:ilvl w:val="0"/>
                <w:numId w:val="1"/>
              </w:numPr>
              <w:spacing w:before="100" w:after="0"/>
              <w:ind w:left="720" w:hanging="36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Povečanje zmogljivosti in posodobitev podatkovnega in govornega omrežja Policije.</w:t>
            </w:r>
          </w:p>
          <w:p w:rsidR="00A77B3E">
            <w:pPr>
              <w:numPr>
                <w:ilvl w:val="0"/>
                <w:numId w:val="1"/>
              </w:numPr>
              <w:spacing w:before="100" w:after="0"/>
              <w:ind w:left="720" w:hanging="36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Posodobitev informacijske strojne in programske opreme centralnega policijskega informacijskega sistema.</w:t>
            </w:r>
          </w:p>
          <w:p w:rsidR="00A77B3E">
            <w:pPr>
              <w:numPr>
                <w:ilvl w:val="0"/>
                <w:numId w:val="1"/>
              </w:numPr>
              <w:spacing w:before="100" w:after="0"/>
              <w:ind w:left="720" w:hanging="36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Posodobitev informacijskih podsistemov za implementacijo vseh novih direktiv (npr. direktive 2023/977/EU, 2024/982/EU in evropskega indeksnega sistema policijskih evidenc -EPRIS) za izmenjavo informacij.</w:t>
            </w:r>
          </w:p>
          <w:p w:rsidR="00A77B3E">
            <w:pPr>
              <w:spacing w:before="100" w:after="0"/>
              <w:jc w:val="left"/>
              <w:rPr>
                <w:rFonts w:ascii="TimesNewRoman" w:eastAsia="TimesNewRoman" w:hAnsi="TimesNewRoman" w:cs="TimesNewRoman"/>
                <w:b w:val="0"/>
                <w:i w:val="0"/>
                <w:vanish w:val="0"/>
                <w:color w:val="000000"/>
                <w:sz w:val="24"/>
              </w:rPr>
            </w:pPr>
          </w:p>
          <w:p w:rsidR="00A77B3E">
            <w:pPr>
              <w:spacing w:before="100" w:after="0"/>
              <w:jc w:val="left"/>
              <w:rPr>
                <w:rFonts w:ascii="TimesNewRoman" w:eastAsia="TimesNewRoman" w:hAnsi="TimesNewRoman" w:cs="TimesNewRoman"/>
                <w:b w:val="0"/>
                <w:i w:val="0"/>
                <w:vanish w:val="0"/>
                <w:color w:val="000000"/>
                <w:sz w:val="24"/>
              </w:rPr>
            </w:pPr>
            <w:r>
              <w:rPr>
                <w:rStyle w:val="Strong"/>
                <w:rFonts w:ascii="TimesNewRoman" w:eastAsia="TimesNewRoman" w:hAnsi="TimesNewRoman" w:cs="TimesNewRoman"/>
                <w:b w:val="0"/>
                <w:i w:val="0"/>
                <w:vanish w:val="0"/>
                <w:color w:val="000000"/>
                <w:sz w:val="24"/>
              </w:rPr>
              <w:t xml:space="preserve">1) </w:t>
            </w:r>
            <w:r>
              <w:rPr>
                <w:rStyle w:val="Strong"/>
                <w:rFonts w:ascii="TimesNewRoman" w:eastAsia="TimesNewRoman" w:hAnsi="TimesNewRoman" w:cs="TimesNewRoman"/>
                <w:b w:val="0"/>
                <w:i w:val="0"/>
                <w:vanish w:val="0"/>
                <w:color w:val="000000"/>
                <w:sz w:val="24"/>
                <w:u w:val="single"/>
              </w:rPr>
              <w:t>Izvedbeni ukrep 1a): Zagotovitev enotne uporabe pravnega reda Unije</w:t>
            </w:r>
          </w:p>
          <w:p w:rsidR="00A77B3E">
            <w:pPr>
              <w:spacing w:before="100" w:after="0"/>
              <w:jc w:val="left"/>
              <w:rPr>
                <w:rFonts w:ascii="TimesNewRoman" w:eastAsia="TimesNewRoman" w:hAnsi="TimesNewRoman" w:cs="TimesNewRoman"/>
                <w:b w:val="0"/>
                <w:i w:val="0"/>
                <w:vanish w:val="0"/>
                <w:color w:val="000000"/>
                <w:sz w:val="24"/>
              </w:rPr>
            </w:pPr>
            <w:r>
              <w:rPr>
                <w:rStyle w:val="Strong"/>
                <w:rFonts w:ascii="TimesNewRoman" w:eastAsia="TimesNewRoman" w:hAnsi="TimesNewRoman" w:cs="TimesNewRoman"/>
                <w:b w:val="0"/>
                <w:i w:val="0"/>
                <w:vanish w:val="0"/>
                <w:color w:val="000000"/>
                <w:sz w:val="24"/>
              </w:rPr>
              <w:t>- Vzdrževanje in nadaljnji razvoj SI sistema PNR/API</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 xml:space="preserve">S projektom SI PNR, HOME/2012/ISEC/AG/PNR/4000004450 je SI vzpostavila nacionalno </w:t>
            </w:r>
            <w:r>
              <w:rPr>
                <w:rStyle w:val="Emphasis"/>
                <w:rFonts w:ascii="TimesNewRoman" w:eastAsia="TimesNewRoman" w:hAnsi="TimesNewRoman" w:cs="TimesNewRoman"/>
                <w:b w:val="0"/>
                <w:i w:val="0"/>
                <w:vanish w:val="0"/>
                <w:color w:val="000000"/>
                <w:sz w:val="24"/>
              </w:rPr>
              <w:t>Enoto za informacije o potnikih</w:t>
            </w:r>
            <w:r>
              <w:rPr>
                <w:rFonts w:ascii="TimesNewRoman" w:eastAsia="TimesNewRoman" w:hAnsi="TimesNewRoman" w:cs="TimesNewRoman"/>
                <w:b w:val="0"/>
                <w:i w:val="0"/>
                <w:vanish w:val="0"/>
                <w:color w:val="000000"/>
                <w:sz w:val="24"/>
              </w:rPr>
              <w:t xml:space="preserve">, pristojno za zbiranje podatkov </w:t>
            </w:r>
            <w:r>
              <w:rPr>
                <w:rStyle w:val="Strong"/>
                <w:rFonts w:ascii="TimesNewRoman" w:eastAsia="TimesNewRoman" w:hAnsi="TimesNewRoman" w:cs="TimesNewRoman"/>
                <w:b w:val="0"/>
                <w:i w:val="0"/>
                <w:vanish w:val="0"/>
                <w:color w:val="000000"/>
                <w:sz w:val="24"/>
              </w:rPr>
              <w:t>PNR/API</w:t>
            </w:r>
            <w:r>
              <w:rPr>
                <w:rFonts w:ascii="TimesNewRoman" w:eastAsia="TimesNewRoman" w:hAnsi="TimesNewRoman" w:cs="TimesNewRoman"/>
                <w:b w:val="0"/>
                <w:i w:val="0"/>
                <w:vanish w:val="0"/>
                <w:color w:val="000000"/>
                <w:sz w:val="24"/>
              </w:rPr>
              <w:t xml:space="preserve"> od letalskih prevoznikov, njihovo hrambo, obdelavo in pošiljanje teh podatkov ali rezultatov njihove obdelave pristojnim organom. Delovanje enote je bilo izboljšano s financiranjem iz ISFP 2014-2020. Direktiva (EU) 2016/681 je v celoti prenesena v slovensko zakonodajo s spremembami Zakona o nalogah in pooblastilih policije in Zakona o letalstvu ter novega Zakona o varstvu osebnih podatkov.</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Izziv</w:t>
            </w:r>
            <w:r>
              <w:rPr>
                <w:rStyle w:val="Strong"/>
                <w:rFonts w:ascii="TimesNewRoman" w:eastAsia="TimesNewRoman" w:hAnsi="TimesNewRoman" w:cs="TimesNewRoman"/>
                <w:b w:val="0"/>
                <w:i w:val="0"/>
                <w:vanish w:val="0"/>
                <w:color w:val="000000"/>
                <w:sz w:val="24"/>
              </w:rPr>
              <w:t>:</w:t>
            </w:r>
            <w:r>
              <w:rPr>
                <w:rFonts w:ascii="TimesNewRoman" w:eastAsia="TimesNewRoman" w:hAnsi="TimesNewRoman" w:cs="TimesNewRoman"/>
                <w:b w:val="0"/>
                <w:i w:val="0"/>
                <w:vanish w:val="0"/>
                <w:color w:val="000000"/>
                <w:sz w:val="24"/>
              </w:rPr>
              <w:t xml:space="preserve"> zagotoviti učinkovitejšo analizo podatkov PNR/API za namen preprečevanja in preiskovanja hudih KD in terorizma. Izziv je tudi zbiranje in analiza javno dostopnih informacij z interneta kot nadgradnja obdelanih podatkov PNR/API.</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Sredstva SNV 2021-2027 bodo porabljena za nadgradnjo ustrezne IT programske opreme in nakup analitičnih orodij (Ibase, OSINT in SOCMINT), ki bodo vključena v delovne procese analize podatkov PNR. Zagotovljeno bo tudi ustrezno usposabljanje za uporabo programske opreme in orodij.</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Pričakovani rezultat: vzdrževan, nadgrajen sistem SI PNR/API in vzpostavljena nova informacijska infrastruktura z novimi programskimi funkcionalnostmi, ki ustrezajo EU zahtevam.</w:t>
            </w:r>
          </w:p>
          <w:p w:rsidR="00A77B3E">
            <w:pPr>
              <w:spacing w:before="100" w:after="0"/>
              <w:jc w:val="left"/>
              <w:rPr>
                <w:rFonts w:ascii="TimesNewRoman" w:eastAsia="TimesNewRoman" w:hAnsi="TimesNewRoman" w:cs="TimesNewRoman"/>
                <w:b w:val="0"/>
                <w:i w:val="0"/>
                <w:vanish w:val="0"/>
                <w:color w:val="000000"/>
                <w:sz w:val="24"/>
              </w:rPr>
            </w:pPr>
          </w:p>
          <w:p w:rsidR="00A77B3E">
            <w:pPr>
              <w:spacing w:before="100" w:after="0"/>
              <w:jc w:val="left"/>
              <w:rPr>
                <w:rFonts w:ascii="TimesNewRoman" w:eastAsia="TimesNewRoman" w:hAnsi="TimesNewRoman" w:cs="TimesNewRoman"/>
                <w:b w:val="0"/>
                <w:i w:val="0"/>
                <w:vanish w:val="0"/>
                <w:color w:val="000000"/>
                <w:sz w:val="24"/>
              </w:rPr>
            </w:pPr>
            <w:r>
              <w:rPr>
                <w:rStyle w:val="Strong"/>
                <w:rFonts w:ascii="TimesNewRoman" w:eastAsia="TimesNewRoman" w:hAnsi="TimesNewRoman" w:cs="TimesNewRoman"/>
                <w:b w:val="0"/>
                <w:i w:val="0"/>
                <w:vanish w:val="0"/>
                <w:color w:val="000000"/>
                <w:sz w:val="24"/>
              </w:rPr>
              <w:t>- Okrepljeno mednarodno sodelovanje v boju proti spolnemu izkoriščanju mladoletnih oseb in vzpostavitev Nacionalne baze gradiv spolnega izkoriščanja mladoletnih oseb (NCSE DB) (fin. 90%)</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 xml:space="preserve">Za učinkovito odkrivanje in preiskovanje KD </w:t>
            </w:r>
            <w:r>
              <w:rPr>
                <w:rStyle w:val="Strong"/>
                <w:rFonts w:ascii="TimesNewRoman" w:eastAsia="TimesNewRoman" w:hAnsi="TimesNewRoman" w:cs="TimesNewRoman"/>
                <w:b w:val="0"/>
                <w:i w:val="0"/>
                <w:vanish w:val="0"/>
                <w:color w:val="000000"/>
                <w:sz w:val="24"/>
              </w:rPr>
              <w:t>spolne zlorabe otrok</w:t>
            </w:r>
            <w:r>
              <w:rPr>
                <w:rFonts w:ascii="TimesNewRoman" w:eastAsia="TimesNewRoman" w:hAnsi="TimesNewRoman" w:cs="TimesNewRoman"/>
                <w:b w:val="0"/>
                <w:i w:val="0"/>
                <w:vanish w:val="0"/>
                <w:color w:val="000000"/>
                <w:sz w:val="24"/>
              </w:rPr>
              <w:t xml:space="preserve">, spolnega izkoriščanja otrok in dejanj, povezanih z distribucijo gradiv s spolnimi zlorabami otrok, je ključno mednarodno sodelovanje in okrepljena izmenjava informacij, saj se je le z okrepljenim čezmejnim sodelovanjem mogoče spopadati s tem globalnim pojavom. Prvotna in najpomembnejša naloga pri preiskovanju KD je identifikacija </w:t>
            </w:r>
            <w:r>
              <w:rPr>
                <w:rStyle w:val="Strong"/>
                <w:rFonts w:ascii="TimesNewRoman" w:eastAsia="TimesNewRoman" w:hAnsi="TimesNewRoman" w:cs="TimesNewRoman"/>
                <w:b w:val="0"/>
                <w:i w:val="0"/>
                <w:vanish w:val="0"/>
                <w:color w:val="000000"/>
                <w:sz w:val="24"/>
              </w:rPr>
              <w:t>otrok, ki so žrtve spolnega izkoriščanja preko interneta</w:t>
            </w:r>
            <w:r>
              <w:rPr>
                <w:rFonts w:ascii="TimesNewRoman" w:eastAsia="TimesNewRoman" w:hAnsi="TimesNewRoman" w:cs="TimesNewRoman"/>
                <w:b w:val="0"/>
                <w:i w:val="0"/>
                <w:vanish w:val="0"/>
                <w:color w:val="000000"/>
                <w:sz w:val="24"/>
              </w:rPr>
              <w:t>, z namenom rešitve iz primeža spolne zlorabe. Količina pridobljenih gradiv z navedeno vsebino narašča in je ni mogoče obvladovati brez programske opreme, orodij in obstoječe nacionalne baze.</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 xml:space="preserve">Glavni izziv: boj proti spolnemu izkoriščanju otrok je lahko uspešen samo z mednarodnim sodelovanjem in okrepljeno izmenjavo podatkov, zato so nacionalne baze gradiv spolnih zlorab otrok ključne. </w:t>
            </w:r>
            <w:r>
              <w:rPr>
                <w:rStyle w:val="Strong"/>
                <w:rFonts w:ascii="TimesNewRoman" w:eastAsia="TimesNewRoman" w:hAnsi="TimesNewRoman" w:cs="TimesNewRoman"/>
                <w:b w:val="0"/>
                <w:i w:val="0"/>
                <w:vanish w:val="0"/>
                <w:color w:val="000000"/>
                <w:sz w:val="24"/>
              </w:rPr>
              <w:t>Vzpostavitev nacionalne NCSE DB</w:t>
            </w:r>
            <w:r>
              <w:rPr>
                <w:rFonts w:ascii="TimesNewRoman" w:eastAsia="TimesNewRoman" w:hAnsi="TimesNewRoman" w:cs="TimesNewRoman"/>
                <w:b w:val="0"/>
                <w:i w:val="0"/>
                <w:vanish w:val="0"/>
                <w:color w:val="000000"/>
                <w:sz w:val="24"/>
              </w:rPr>
              <w:t xml:space="preserve"> bo doprinesla k učinkovitejšemu preiskovanju tovrstne kriminalitete na nacionalni in mednarodni ravni ter do boljše izmenjave informacij z EUROPOL, DČ EU, Interpolom ter tretjimi državami.</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Vzpostavitev NCSE DB je v skladu z Direktivo 2011/93/EU, Strategijo EU za učinkovitejši boj proti spolni zlorabi otrok, Resolucijo o nacionalnem programu preprečevanja in zatiranja kriminalitete za obdobje 2019-2023, Bruseljsko Izjavo o zagonu globalnega zavezništva proti spolnemu zlorabljanju otrok na internetu (2012) in Londonsko izjavo (WePROTECT) o sodelovanju v boju proti internetnemu spolnemu izkoriščanju otrok (2014). Nacionalno podlago pa predstavlja Zakon o nalogah in pooblastilih policije.</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Pričakovani rezultat: vzpostavljena NCSE DB in s tem kapacitete za hitrejšo in bolj kakovostno mednarodno izmenjavo podatkov CSE, izboljšana izmenjava podatkov, povezanih s CSA, za podporo preiskavam in identifikaciji žrtev in storilcev.</w:t>
            </w:r>
          </w:p>
          <w:p w:rsidR="00A77B3E">
            <w:pPr>
              <w:spacing w:before="100" w:after="0"/>
              <w:jc w:val="left"/>
              <w:rPr>
                <w:rFonts w:ascii="TimesNewRoman" w:eastAsia="TimesNewRoman" w:hAnsi="TimesNewRoman" w:cs="TimesNewRoman"/>
                <w:b w:val="0"/>
                <w:i w:val="0"/>
                <w:vanish w:val="0"/>
                <w:color w:val="000000"/>
                <w:sz w:val="24"/>
              </w:rPr>
            </w:pPr>
          </w:p>
          <w:p w:rsidR="00A77B3E">
            <w:pPr>
              <w:spacing w:before="100" w:after="0"/>
              <w:jc w:val="left"/>
              <w:rPr>
                <w:rFonts w:ascii="TimesNewRoman" w:eastAsia="TimesNewRoman" w:hAnsi="TimesNewRoman" w:cs="TimesNewRoman"/>
                <w:b w:val="0"/>
                <w:i w:val="0"/>
                <w:vanish w:val="0"/>
                <w:color w:val="000000"/>
                <w:sz w:val="24"/>
              </w:rPr>
            </w:pPr>
            <w:r>
              <w:rPr>
                <w:rStyle w:val="Strong"/>
                <w:rFonts w:ascii="TimesNewRoman" w:eastAsia="TimesNewRoman" w:hAnsi="TimesNewRoman" w:cs="TimesNewRoman"/>
                <w:b w:val="0"/>
                <w:i w:val="0"/>
                <w:vanish w:val="0"/>
                <w:color w:val="000000"/>
                <w:sz w:val="24"/>
              </w:rPr>
              <w:t xml:space="preserve">- Nadgradnja sistema za izmenjavo Prüm podatkov </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 xml:space="preserve">Nadgradnja sistema za </w:t>
            </w:r>
            <w:r>
              <w:rPr>
                <w:rStyle w:val="Strong"/>
                <w:rFonts w:ascii="TimesNewRoman" w:eastAsia="TimesNewRoman" w:hAnsi="TimesNewRoman" w:cs="TimesNewRoman"/>
                <w:b w:val="0"/>
                <w:i w:val="0"/>
                <w:vanish w:val="0"/>
                <w:color w:val="000000"/>
                <w:sz w:val="24"/>
              </w:rPr>
              <w:t>izmenjavo Prüm podatkov</w:t>
            </w:r>
            <w:r>
              <w:rPr>
                <w:rFonts w:ascii="TimesNewRoman" w:eastAsia="TimesNewRoman" w:hAnsi="TimesNewRoman" w:cs="TimesNewRoman"/>
                <w:b w:val="0"/>
                <w:i w:val="0"/>
                <w:vanish w:val="0"/>
                <w:color w:val="000000"/>
                <w:sz w:val="24"/>
              </w:rPr>
              <w:t xml:space="preserve"> bo izvedena predvsem s ciljem širitve izmenjave podatkov z </w:t>
            </w:r>
            <w:r>
              <w:rPr>
                <w:rStyle w:val="Strong"/>
                <w:rFonts w:ascii="TimesNewRoman" w:eastAsia="TimesNewRoman" w:hAnsi="TimesNewRoman" w:cs="TimesNewRoman"/>
                <w:b w:val="0"/>
                <w:i w:val="0"/>
                <w:vanish w:val="0"/>
                <w:color w:val="000000"/>
                <w:sz w:val="24"/>
              </w:rPr>
              <w:t>ZB</w:t>
            </w:r>
            <w:r>
              <w:rPr>
                <w:rFonts w:ascii="TimesNewRoman" w:eastAsia="TimesNewRoman" w:hAnsi="TimesNewRoman" w:cs="TimesNewRoman"/>
                <w:b w:val="0"/>
                <w:i w:val="0"/>
                <w:vanish w:val="0"/>
                <w:color w:val="000000"/>
                <w:sz w:val="24"/>
              </w:rPr>
              <w:t>, v skladu s Sporazumom med pogodbenicami Konvencije o policijskem sodelovanju v jugovzhodni Evropi o avtomatizirani izmenjavi DNK, daktiloskopskih podatkov in podatkov o registraciji vozil; in izvedbenim sporazumom (Dunaj ,13.9.2018), ki ga bo SI podpisala po razrešitvi trenutnega spora (predvidoma leta 2022). SI mora prav tako povečati nacionalne zmogljivosti za zbiranje, analizo in izmenjavo podatkov o DNK, izboljšati zmogljivosti za delo z zapisi DNK, odpraviti zaostanke pri analizi sledi in poročati o izvedenih analizah.</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Glavni izziv: povezave z državami ZB, ki zahtevajo postavitev novega sistema, podobnega obstoječemu - vzpostavitev PRÜM druge generacije. Obstoječi sistem PRÜM za izmenjavo podatkov bo vzpostavljen v skladu z novo uredbo PRÜM, z uporabo novih kanalov za izmenjavo podatkov – zato se imenuje druga generacija PRÜM. Nadgradnja Prümske izmenjave podatkov omogoča izmenjavo fotografij na podoben način, kot za DNK.</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Dejavnosti: nabava, namestitev, testiranje in uporaba strojne in programske opreme. Za to bo SI za izmenjavo informacij uporabljala: Lotus Notes Postal System, OS: Windows Server 2003, DB: Ms SQL Server 2005, DE_CC v1.1, AT Match tools in Apache TOMCAT 7.0.</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Pričakovani rezultati:</w:t>
            </w:r>
          </w:p>
          <w:p w:rsidR="00A77B3E">
            <w:pPr>
              <w:numPr>
                <w:ilvl w:val="0"/>
                <w:numId w:val="2"/>
              </w:numPr>
              <w:spacing w:before="100" w:after="0"/>
              <w:ind w:left="720" w:hanging="36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Širitev izmenjave DNK in drugih podatkov z državami ZB, s čimer pričakujemo uspešno identificiranje storilcev, ki izvirajo iz Balkana.</w:t>
            </w:r>
          </w:p>
          <w:p w:rsidR="00A77B3E">
            <w:pPr>
              <w:numPr>
                <w:ilvl w:val="0"/>
                <w:numId w:val="2"/>
              </w:numPr>
              <w:spacing w:before="100" w:after="0"/>
              <w:ind w:left="720" w:hanging="36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Z izmenjavo dodatnih vsebin z DČ npr. slik osumljencev uspešna identifikacija osumljencev, kar do sedaj ni bilo uspešno.</w:t>
            </w:r>
          </w:p>
          <w:p w:rsidR="00A77B3E">
            <w:pPr>
              <w:numPr>
                <w:ilvl w:val="0"/>
                <w:numId w:val="2"/>
              </w:numPr>
              <w:spacing w:before="100" w:after="0"/>
              <w:ind w:left="720" w:hanging="36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V skladu z novo uredbo Prüm izvedena povezava in integracija nacionalne rešitve s centralnim sistemom (Prüm II Router).</w:t>
            </w:r>
          </w:p>
          <w:p w:rsidR="00A77B3E">
            <w:pPr>
              <w:numPr>
                <w:ilvl w:val="0"/>
                <w:numId w:val="2"/>
              </w:numPr>
              <w:spacing w:before="100" w:after="0"/>
              <w:ind w:left="720" w:hanging="36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Izvedena nadgradnja nacionalne rešitve Prüm.</w:t>
            </w:r>
          </w:p>
          <w:p w:rsidR="00A77B3E">
            <w:pPr>
              <w:spacing w:before="100" w:after="0"/>
              <w:jc w:val="left"/>
              <w:rPr>
                <w:rFonts w:ascii="TimesNewRoman" w:eastAsia="TimesNewRoman" w:hAnsi="TimesNewRoman" w:cs="TimesNewRoman"/>
                <w:b w:val="0"/>
                <w:i w:val="0"/>
                <w:vanish w:val="0"/>
                <w:color w:val="000000"/>
                <w:sz w:val="24"/>
              </w:rPr>
            </w:pPr>
          </w:p>
          <w:p w:rsidR="00A77B3E">
            <w:pPr>
              <w:spacing w:before="100" w:after="0"/>
              <w:jc w:val="left"/>
              <w:rPr>
                <w:rFonts w:ascii="TimesNewRoman" w:eastAsia="TimesNewRoman" w:hAnsi="TimesNewRoman" w:cs="TimesNewRoman"/>
                <w:b w:val="0"/>
                <w:i w:val="0"/>
                <w:vanish w:val="0"/>
                <w:color w:val="000000"/>
                <w:sz w:val="24"/>
              </w:rPr>
            </w:pPr>
            <w:r>
              <w:rPr>
                <w:rStyle w:val="Strong"/>
                <w:rFonts w:ascii="TimesNewRoman" w:eastAsia="TimesNewRoman" w:hAnsi="TimesNewRoman" w:cs="TimesNewRoman"/>
                <w:b w:val="0"/>
                <w:i w:val="0"/>
                <w:vanish w:val="0"/>
                <w:color w:val="000000"/>
                <w:sz w:val="24"/>
              </w:rPr>
              <w:t>- Povečanje nacionalnih zmogljivosti za zbiranje, analizo in izmenjavo podatkov DNK v skladu s Prümskimi sklepi</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Na oddelku za biološke preiskave v Nacionalnem forenzičnem laboratoriju je oprema, ki je ključna za nemoteno delo na oddelku, že precej zastarela, zato je potrebno dodatno preverjanje delovanja aparatur in njihovo čiščenje. Za nemoteno delo z evidencami in mednarodno izmenjavo podatkov je potrebno izboljšati kapacitete za delo in predvsem zmanjšati zaostanke v analizi sledi in poročanju o opravljenih analizah. Vsa prizadevanja bodo namenjena varnemu zbiranju, hrambi, obdelavi, analizi in izmenjavi informacij pri preprečevanju, odkrivanju, preiskovanju in pregonu kaznivih dejanj znotraj EU in s tretjimi državami ter mednarodnimi deležniki.</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Glavni izzivi: posodobitev zastarele opreme, povečanje učinkovitosti dela na oddelku in zmanjševanje večletnega zaostanka.</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Aktivnosti:</w:t>
            </w:r>
          </w:p>
          <w:p w:rsidR="00A77B3E">
            <w:pPr>
              <w:numPr>
                <w:ilvl w:val="0"/>
                <w:numId w:val="3"/>
              </w:numPr>
              <w:spacing w:before="100" w:after="0"/>
              <w:ind w:left="720" w:hanging="36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Nabava najsodobnejše opreme (robot za izolacijo DNK, aparatura za določanje koncentracije DNK in dva genetska analizatorja).</w:t>
            </w:r>
          </w:p>
          <w:p w:rsidR="00A77B3E">
            <w:pPr>
              <w:numPr>
                <w:ilvl w:val="0"/>
                <w:numId w:val="3"/>
              </w:numPr>
              <w:spacing w:before="100" w:after="0"/>
              <w:ind w:left="720" w:hanging="36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Usposabljanje osebja (splošnega in specializiranega) za uporabo nove opreme opreme NGS (nacionalne ali mednarodne delavnice, oziroma obiski drugih evropskih laboratorijev).</w:t>
            </w:r>
          </w:p>
          <w:p w:rsidR="00A77B3E">
            <w:pPr>
              <w:numPr>
                <w:ilvl w:val="0"/>
                <w:numId w:val="3"/>
              </w:numPr>
              <w:spacing w:before="100" w:after="0"/>
              <w:ind w:left="720" w:hanging="36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Usposabljanje osebja za interpretacijo rezultatov, pridobljenih z novo opremo (nacionalne ali mednarodne delavnice, oziroma obiski drugih evropskih laboratorijev).</w:t>
            </w:r>
          </w:p>
          <w:p w:rsidR="00A77B3E">
            <w:pPr>
              <w:numPr>
                <w:ilvl w:val="0"/>
                <w:numId w:val="3"/>
              </w:numPr>
              <w:spacing w:before="100" w:after="0"/>
              <w:ind w:left="720" w:hanging="36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Zaposlitev osebe na projektu, ki bi opravljala validacije novih aparatur, poleg tega pa vzpostavila sistem hitrejše analize primerjalnih vzorcev in s tem bolj učinkovito in hitrejšo izmenjavo podatkov s tujimi varnostnimi organi (Prüm, Interpol).</w:t>
            </w:r>
          </w:p>
          <w:p w:rsidR="00A77B3E">
            <w:pPr>
              <w:numPr>
                <w:ilvl w:val="0"/>
                <w:numId w:val="3"/>
              </w:numPr>
              <w:spacing w:before="100" w:after="0"/>
              <w:ind w:left="720" w:hanging="36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Nabava materialnih sredstev za nove aparature in njihovo servisiranje.</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Pričakovani rezultati:</w:t>
            </w:r>
          </w:p>
          <w:p w:rsidR="00A77B3E">
            <w:pPr>
              <w:numPr>
                <w:ilvl w:val="0"/>
                <w:numId w:val="4"/>
              </w:numPr>
              <w:spacing w:before="100" w:after="0"/>
              <w:ind w:left="720" w:hanging="36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Izboljšane in okrepljene kapacitete za analizo DNK</w:t>
            </w:r>
          </w:p>
          <w:p w:rsidR="00A77B3E">
            <w:pPr>
              <w:numPr>
                <w:ilvl w:val="0"/>
                <w:numId w:val="4"/>
              </w:numPr>
              <w:spacing w:before="100" w:after="0"/>
              <w:ind w:left="720" w:hanging="36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Najsodobnejša laboratorijska oprema</w:t>
            </w:r>
          </w:p>
          <w:p w:rsidR="00A77B3E">
            <w:pPr>
              <w:numPr>
                <w:ilvl w:val="0"/>
                <w:numId w:val="4"/>
              </w:numPr>
              <w:spacing w:before="100" w:after="0"/>
              <w:ind w:left="720" w:hanging="36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Usposobljeno, kvalificirano osebje</w:t>
            </w:r>
          </w:p>
          <w:p w:rsidR="00A77B3E">
            <w:pPr>
              <w:numPr>
                <w:ilvl w:val="0"/>
                <w:numId w:val="4"/>
              </w:numPr>
              <w:spacing w:before="100" w:after="0"/>
              <w:ind w:left="720" w:hanging="36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Izboljšana zmogljivost analiz DNK</w:t>
            </w:r>
          </w:p>
          <w:p w:rsidR="00A77B3E">
            <w:pPr>
              <w:spacing w:before="100" w:after="0"/>
              <w:jc w:val="left"/>
              <w:rPr>
                <w:rFonts w:ascii="TimesNewRoman" w:eastAsia="TimesNewRoman" w:hAnsi="TimesNewRoman" w:cs="TimesNewRoman"/>
                <w:b w:val="0"/>
                <w:i w:val="0"/>
                <w:vanish w:val="0"/>
                <w:color w:val="000000"/>
                <w:sz w:val="24"/>
              </w:rPr>
            </w:pPr>
          </w:p>
          <w:p w:rsidR="00A77B3E">
            <w:pPr>
              <w:spacing w:before="100" w:after="0"/>
              <w:jc w:val="left"/>
              <w:rPr>
                <w:rFonts w:ascii="TimesNewRoman" w:eastAsia="TimesNewRoman" w:hAnsi="TimesNewRoman" w:cs="TimesNewRoman"/>
                <w:b w:val="0"/>
                <w:i w:val="0"/>
                <w:vanish w:val="0"/>
                <w:color w:val="000000"/>
                <w:sz w:val="24"/>
              </w:rPr>
            </w:pPr>
            <w:r>
              <w:rPr>
                <w:rStyle w:val="Strong"/>
                <w:rFonts w:ascii="TimesNewRoman" w:eastAsia="TimesNewRoman" w:hAnsi="TimesNewRoman" w:cs="TimesNewRoman"/>
                <w:b w:val="0"/>
                <w:i w:val="0"/>
                <w:vanish w:val="0"/>
                <w:color w:val="000000"/>
                <w:sz w:val="24"/>
              </w:rPr>
              <w:t xml:space="preserve">2) </w:t>
            </w:r>
            <w:r>
              <w:rPr>
                <w:rStyle w:val="Strong"/>
                <w:rFonts w:ascii="TimesNewRoman" w:eastAsia="TimesNewRoman" w:hAnsi="TimesNewRoman" w:cs="TimesNewRoman"/>
                <w:b w:val="0"/>
                <w:i w:val="0"/>
                <w:vanish w:val="0"/>
                <w:color w:val="000000"/>
                <w:sz w:val="24"/>
                <w:u w:val="single"/>
              </w:rPr>
              <w:t>Izvedbeni ukrep 1d): Podpiranje nacionalnih ukrepov</w:t>
            </w:r>
          </w:p>
          <w:p w:rsidR="00A77B3E">
            <w:pPr>
              <w:spacing w:before="100" w:after="0"/>
              <w:jc w:val="left"/>
              <w:rPr>
                <w:rFonts w:ascii="TimesNewRoman" w:eastAsia="TimesNewRoman" w:hAnsi="TimesNewRoman" w:cs="TimesNewRoman"/>
                <w:b w:val="0"/>
                <w:i w:val="0"/>
                <w:vanish w:val="0"/>
                <w:color w:val="000000"/>
                <w:sz w:val="24"/>
              </w:rPr>
            </w:pPr>
            <w:r>
              <w:rPr>
                <w:rStyle w:val="Strong"/>
                <w:rFonts w:ascii="TimesNewRoman" w:eastAsia="TimesNewRoman" w:hAnsi="TimesNewRoman" w:cs="TimesNewRoman"/>
                <w:b w:val="0"/>
                <w:i w:val="0"/>
                <w:vanish w:val="0"/>
                <w:color w:val="000000"/>
                <w:sz w:val="24"/>
              </w:rPr>
              <w:t xml:space="preserve">- Krepitev zmogljivosti za identifikacijo tarčnih analitov za izboljšano podporo operativnemu delu in izboljšano mednarodno sodelovanje </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 xml:space="preserve">Policija, Nacionalni forenzični laboratorij se bo zaradi problematike kemijske identifikacije novih psihoaktivnih substanc, ki jih policija zasega, usmeril v krepitev zmogljivosti za </w:t>
            </w:r>
            <w:r>
              <w:rPr>
                <w:rStyle w:val="Strong"/>
                <w:rFonts w:ascii="TimesNewRoman" w:eastAsia="TimesNewRoman" w:hAnsi="TimesNewRoman" w:cs="TimesNewRoman"/>
                <w:b w:val="0"/>
                <w:i w:val="0"/>
                <w:vanish w:val="0"/>
                <w:color w:val="000000"/>
                <w:sz w:val="24"/>
              </w:rPr>
              <w:t>identifikacijo tarčnih analitov</w:t>
            </w:r>
            <w:r>
              <w:rPr>
                <w:rFonts w:ascii="TimesNewRoman" w:eastAsia="TimesNewRoman" w:hAnsi="TimesNewRoman" w:cs="TimesNewRoman"/>
                <w:b w:val="0"/>
                <w:i w:val="0"/>
                <w:vanish w:val="0"/>
                <w:color w:val="000000"/>
                <w:sz w:val="24"/>
              </w:rPr>
              <w:t>, boljšo podporo policijskemu operativnemu delu in izboljšano sodelovanje z nacionalnimi in mednarodnimi deležniki z izmenjavo forenzično kredibilnih informacij, in sicer z nabavo UPLC-HRMS sistema ter razvojem metod za kemijske preiskave vzorcev, monitoring drog in sorodnih snovi, razvojem podatkovnih zbirk in izmenjavo informacij.</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Glavni izzivi: izboljšanje kemijske karakterizacije in baz podatkov o še neanaliziranih novih psihotropnih snoveh – NPS z obstoječim referenčnim materialom ter učinkovito izmenjavo informacij in znanja.</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Aktivnosti:</w:t>
            </w:r>
          </w:p>
          <w:p w:rsidR="00A77B3E">
            <w:pPr>
              <w:numPr>
                <w:ilvl w:val="0"/>
                <w:numId w:val="5"/>
              </w:numPr>
              <w:spacing w:before="100" w:after="0"/>
              <w:ind w:left="720" w:hanging="36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Nabava opreme.</w:t>
            </w:r>
          </w:p>
          <w:p w:rsidR="00A77B3E">
            <w:pPr>
              <w:numPr>
                <w:ilvl w:val="0"/>
                <w:numId w:val="5"/>
              </w:numPr>
              <w:spacing w:before="100" w:after="0"/>
              <w:ind w:left="720" w:hanging="36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Vzpostavitev podatkovnih baz za tarčno in ne tarčno iskanje substanc s spremljajočimi metapodatki, baz podatkov za ciljno in neciljno iskanje snovi s pripadajočimi metapodatki.</w:t>
            </w:r>
          </w:p>
          <w:p w:rsidR="00A77B3E">
            <w:pPr>
              <w:numPr>
                <w:ilvl w:val="0"/>
                <w:numId w:val="5"/>
              </w:numPr>
              <w:spacing w:before="100" w:after="0"/>
              <w:ind w:left="720" w:hanging="36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Razvoj analitičnih metod za identifikacijo tarčnih analitov (različna forenzična področja).</w:t>
            </w:r>
          </w:p>
          <w:p w:rsidR="00A77B3E">
            <w:pPr>
              <w:numPr>
                <w:ilvl w:val="0"/>
                <w:numId w:val="5"/>
              </w:numPr>
              <w:spacing w:before="100" w:after="0"/>
              <w:ind w:left="720" w:hanging="36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Redni letni monitoring prepovedanih drog, ki se običajno pojavljajo na trgu (heroin, kokain, konoplja, MDMA, itd.) in novih psihoaktivnih snovi zaseženih v SI, statistične obdelave ter poročanje.</w:t>
            </w:r>
          </w:p>
          <w:p w:rsidR="00A77B3E">
            <w:pPr>
              <w:numPr>
                <w:ilvl w:val="0"/>
                <w:numId w:val="5"/>
              </w:numPr>
              <w:spacing w:before="100" w:after="0"/>
              <w:ind w:left="720" w:hanging="36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Mednarodna izmenjava informacij s forenzičnimi laboratoriji v EU, EMCDDA in EUROPOL, izmenjava z nacionalnimi deležniki (Ministrstvo za zdravje in v okviru sistema za zgodnje obveščanje EWS), ozaveščanje javnosti, nacionalne ali mednarodne delavnice in seminarji.</w:t>
            </w:r>
          </w:p>
          <w:p w:rsidR="00A77B3E">
            <w:pPr>
              <w:numPr>
                <w:ilvl w:val="0"/>
                <w:numId w:val="5"/>
              </w:numPr>
              <w:spacing w:before="100" w:after="0"/>
              <w:ind w:left="720" w:hanging="36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Podpora operativnemu delu policije.</w:t>
            </w:r>
          </w:p>
          <w:p w:rsidR="00A77B3E">
            <w:pPr>
              <w:numPr>
                <w:ilvl w:val="0"/>
                <w:numId w:val="5"/>
              </w:numPr>
              <w:spacing w:before="100" w:after="0"/>
              <w:ind w:left="720" w:hanging="36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Podpora nacionalnim deležnikom pri pripravi sprememb zakonodaje na področju drog in sorodnih substanc.</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Pričakovani rezultati:</w:t>
            </w:r>
            <w:r>
              <w:rPr>
                <w:rStyle w:val="Strong"/>
                <w:rFonts w:ascii="TimesNewRoman" w:eastAsia="TimesNewRoman" w:hAnsi="TimesNewRoman" w:cs="TimesNewRoman"/>
                <w:b w:val="0"/>
                <w:i w:val="0"/>
                <w:vanish w:val="0"/>
                <w:color w:val="000000"/>
                <w:sz w:val="24"/>
              </w:rPr>
              <w:t xml:space="preserve"> </w:t>
            </w:r>
            <w:r>
              <w:rPr>
                <w:rFonts w:ascii="TimesNewRoman" w:eastAsia="TimesNewRoman" w:hAnsi="TimesNewRoman" w:cs="TimesNewRoman"/>
                <w:b w:val="0"/>
                <w:i w:val="0"/>
                <w:vanish w:val="0"/>
                <w:color w:val="000000"/>
                <w:sz w:val="24"/>
              </w:rPr>
              <w:t>okrepljene zmogljivosti, boljša podpora policijskemu operativnemu delu in izboljšano sodelovanje z nacionalnimi in mednarodnimi deležniki pri izmenjavi forenzičnih informacij.</w:t>
            </w:r>
          </w:p>
          <w:p w:rsidR="00A77B3E">
            <w:pPr>
              <w:spacing w:before="100" w:after="0"/>
              <w:jc w:val="left"/>
              <w:rPr>
                <w:rFonts w:ascii="TimesNewRoman" w:eastAsia="TimesNewRoman" w:hAnsi="TimesNewRoman" w:cs="TimesNewRoman"/>
                <w:b w:val="0"/>
                <w:i w:val="0"/>
                <w:vanish w:val="0"/>
                <w:color w:val="000000"/>
                <w:sz w:val="24"/>
              </w:rPr>
            </w:pPr>
          </w:p>
          <w:p w:rsidR="00A77B3E">
            <w:pPr>
              <w:spacing w:before="100" w:after="0"/>
              <w:jc w:val="left"/>
              <w:rPr>
                <w:rFonts w:ascii="TimesNewRoman" w:eastAsia="TimesNewRoman" w:hAnsi="TimesNewRoman" w:cs="TimesNewRoman"/>
                <w:b w:val="0"/>
                <w:i w:val="0"/>
                <w:vanish w:val="0"/>
                <w:color w:val="000000"/>
                <w:sz w:val="24"/>
              </w:rPr>
            </w:pPr>
            <w:r>
              <w:rPr>
                <w:rStyle w:val="Strong"/>
                <w:rFonts w:ascii="TimesNewRoman" w:eastAsia="TimesNewRoman" w:hAnsi="TimesNewRoman" w:cs="TimesNewRoman"/>
                <w:b w:val="0"/>
                <w:i w:val="0"/>
                <w:vanish w:val="0"/>
                <w:color w:val="000000"/>
                <w:sz w:val="24"/>
              </w:rPr>
              <w:t xml:space="preserve">- Povečanje zmogljivosti in posodobitev podatkovnega in govornega omrežja Policije </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Širokopasovno podatkovno omrežje ITSP služi dostopu vseh policijskih lokacij od Generalne policijske uprave (GPU), policijskih uprav (PU), policijskih postaj (PP), mejnih prehodov (MP) do maloobmejnih prehodov, do storitev, vsebin in podatkov potrebnih za operativno policijsko delo. Kot tako, le-to predstavlja temelj za uporabo vseh policijskih informacijskih storitev in omogoča povezavo na različne EU in druge zunanje sisteme. Sodobno in zmogljivo omrežje omogoča tudi prenos podatkov stacionarnih in pomorskih radarjev, video posnetkov nadzornih sistemov, videonadzor na schengenski meji in postopkov na morski meji, idr. Podatkovno omrežje je tudi del infrastrukture za govorno omrežje, ki služi za operativno govorno komunikacijo med vsemi enotami policije in je povezano z drugimi operativnimi sistemi policije, kot so Tetra, operativni štabi, formirani ob nacionalno in mednarodno varnostno zahtevnih dogodkih. Del govornega omrežja, je tudi omrežje registrafonskih naprav, ki služijo snemanju operativnih komunikacij policije.</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Glavni izzivi in pripadajoče aktivnosti za njihovo reševanje:</w:t>
            </w:r>
          </w:p>
          <w:p w:rsidR="00A77B3E">
            <w:pPr>
              <w:numPr>
                <w:ilvl w:val="0"/>
                <w:numId w:val="6"/>
              </w:numPr>
              <w:spacing w:before="100" w:after="0"/>
              <w:ind w:left="720" w:hanging="36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Nadomestiti zastarelo omrežno opremo z nabavo najsodobnejše opreme.</w:t>
            </w:r>
          </w:p>
          <w:p w:rsidR="00A77B3E">
            <w:pPr>
              <w:numPr>
                <w:ilvl w:val="0"/>
                <w:numId w:val="6"/>
              </w:numPr>
              <w:spacing w:before="100" w:after="0"/>
              <w:ind w:left="720" w:hanging="36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Nabava opreme za povečanje zmogljivosti komunikacijskih povezav.</w:t>
            </w:r>
          </w:p>
          <w:p w:rsidR="00A77B3E">
            <w:pPr>
              <w:numPr>
                <w:ilvl w:val="0"/>
                <w:numId w:val="6"/>
              </w:numPr>
              <w:spacing w:before="100" w:after="0"/>
              <w:ind w:left="720" w:hanging="36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Ukrepi in oprema za omogočitev implementacije ustrezne kriptografske zaščite podatkov in komunikacij.</w:t>
            </w:r>
          </w:p>
          <w:p w:rsidR="00A77B3E">
            <w:pPr>
              <w:numPr>
                <w:ilvl w:val="0"/>
                <w:numId w:val="6"/>
              </w:numPr>
              <w:spacing w:before="100" w:after="0"/>
              <w:ind w:left="720" w:hanging="36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Nabava opreme, ki omogoča varno ločevanje zunanjih omrežij in povezav na EU in druge zunanje sisteme.</w:t>
            </w:r>
          </w:p>
          <w:p w:rsidR="00A77B3E">
            <w:pPr>
              <w:numPr>
                <w:ilvl w:val="0"/>
                <w:numId w:val="6"/>
              </w:numPr>
              <w:spacing w:before="100" w:after="0"/>
              <w:ind w:left="720" w:hanging="36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Nabava opreme za izboljšanje obrambe pred kibernetskimi napadi.</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Pomemben izziv je tudi nadomestitev iztrošene in zastarele opreme govornega področja in omogočiti varno in zanesljivo operativno komunikacijo policije in sodelovanje z drugimi varnostnimi organi.</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Pričakovani rezultati: zmogljive komunikacijske povezave s pomočjo širokopasovnega omrežja in uporabo kriptografske zaščite; varno in zanesljivo govorno omrežje policije.</w:t>
            </w:r>
          </w:p>
          <w:p w:rsidR="00A77B3E">
            <w:pPr>
              <w:spacing w:before="100" w:after="0"/>
              <w:jc w:val="left"/>
              <w:rPr>
                <w:rFonts w:ascii="TimesNewRoman" w:eastAsia="TimesNewRoman" w:hAnsi="TimesNewRoman" w:cs="TimesNewRoman"/>
                <w:b w:val="0"/>
                <w:i w:val="0"/>
                <w:vanish w:val="0"/>
                <w:color w:val="000000"/>
                <w:sz w:val="24"/>
              </w:rPr>
            </w:pPr>
          </w:p>
          <w:p w:rsidR="00A77B3E">
            <w:pPr>
              <w:spacing w:before="100" w:after="0"/>
              <w:jc w:val="left"/>
              <w:rPr>
                <w:rFonts w:ascii="TimesNewRoman" w:eastAsia="TimesNewRoman" w:hAnsi="TimesNewRoman" w:cs="TimesNewRoman"/>
                <w:b w:val="0"/>
                <w:i w:val="0"/>
                <w:vanish w:val="0"/>
                <w:color w:val="000000"/>
                <w:sz w:val="24"/>
              </w:rPr>
            </w:pPr>
            <w:r>
              <w:rPr>
                <w:rStyle w:val="Strong"/>
                <w:rFonts w:ascii="TimesNewRoman" w:eastAsia="TimesNewRoman" w:hAnsi="TimesNewRoman" w:cs="TimesNewRoman"/>
                <w:b w:val="0"/>
                <w:i w:val="0"/>
                <w:vanish w:val="0"/>
                <w:color w:val="000000"/>
                <w:sz w:val="24"/>
              </w:rPr>
              <w:t>- Posodobitev informacijske strojne in programske opreme</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Primarni centralni računalnik predstavlja jedro informacijskega sistema SI policije. Do podatkov in aplikacij pa uporabniki dostopajo z uporabo namizne in prenosne informacijske opreme. Na centralnem računalniku delujejo številni sklopi aplikacij za podporo dela Policije, komunikacijo z zunanjimi partnerji, mednarodno izmenjavo podatkov in paketne obdelave.</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Z namenom zniževanja operativnih stroškov je policija v 2018 začela z uvajanjem odprtokodnih rešitev. Vzpostavljena je bila nova platforma CEPIS (Centralni Policijski Informacijski Sistem), kamor bodo v prihodnjih letih postopoma preseljene prej naštete aplikacije in storitve. Do takrat pa bodo še vedno delovale na centralnem računalniku. Na področju namizne in prenosne opreme je stanje slabo, ker je večinoma že stara in potrebna menjave z novejšo.</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Glavni izzivi in pripadajoče aktivnosti za njihovo reševanje: uskladitev strojne in programske opreme informacijskega sistema z regulativnimi zahtevami skozi nabavo in najem opreme za zamenjavo zastarele informacijske opreme ter nabava in najem ustrezne programske opreme, s čimer bo omogočena zanesljiva in varna uporaba sodobnih informacijskih storitev in mednarodna izmenjava podatkov. Posodobitve so nujne na področju strojne in programske opreme, ker le na ta način lahko zagotavljamo nemoten dostop in uporabo schengenskih podatkov ter zaščito podatkov in konsistentnosti podatkovnih baz.</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 xml:space="preserve">Smo v fazi prehoda iz centralnega računalnika </w:t>
            </w:r>
            <w:r>
              <w:rPr>
                <w:rStyle w:val="Emphasis"/>
                <w:rFonts w:ascii="TimesNewRoman" w:eastAsia="TimesNewRoman" w:hAnsi="TimesNewRoman" w:cs="TimesNewRoman"/>
                <w:b w:val="0"/>
                <w:i w:val="0"/>
                <w:vanish w:val="0"/>
                <w:color w:val="000000"/>
                <w:sz w:val="24"/>
              </w:rPr>
              <w:t>(Mainframe)</w:t>
            </w:r>
            <w:r>
              <w:rPr>
                <w:rFonts w:ascii="TimesNewRoman" w:eastAsia="TimesNewRoman" w:hAnsi="TimesNewRoman" w:cs="TimesNewRoman"/>
                <w:b w:val="0"/>
                <w:i w:val="0"/>
                <w:vanish w:val="0"/>
                <w:color w:val="000000"/>
                <w:sz w:val="24"/>
              </w:rPr>
              <w:t xml:space="preserve"> na nov sistem CEPIS, ki temelji na odprtokodnem okolju. Trenutno večina policijskih informacijskih storitev še vedno deluje na centralnem računalniku. Za dostop do obeh sistemov bosta uporabljeni namizna in mobilna oprema. Sam sistem CEPIS ni del financiranja iz SNV sredstev. Posodobitev informacijskih podsistemov je ključna, saj predstavlja temelj za implementacijo vseh novih direktiv (direktive 2023/977/EU, 2024/982/EU in evropskega indeksnega sistema policijskih evidenc -EPRIS) za izmenjavo informacij.</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Pričakovani rezultati: učinkovit, okrepljen in varen informacijski sistem Policije in s tem učinkovito in varno delo na področju mednarodne izmenjave podatkov.</w:t>
            </w:r>
          </w:p>
          <w:p w:rsidR="00A77B3E">
            <w:pPr>
              <w:spacing w:before="100" w:after="0"/>
              <w:jc w:val="left"/>
              <w:rPr>
                <w:rFonts w:ascii="TimesNewRoman" w:eastAsia="TimesNewRoman" w:hAnsi="TimesNewRoman" w:cs="TimesNewRoman"/>
                <w:b w:val="0"/>
                <w:i w:val="0"/>
                <w:vanish w:val="0"/>
                <w:color w:val="000000"/>
                <w:sz w:val="24"/>
              </w:rPr>
            </w:pPr>
          </w:p>
          <w:p w:rsidR="00A77B3E">
            <w:pPr>
              <w:spacing w:before="100" w:after="0"/>
              <w:jc w:val="left"/>
              <w:rPr>
                <w:rFonts w:ascii="TimesNewRoman" w:eastAsia="TimesNewRoman" w:hAnsi="TimesNewRoman" w:cs="TimesNewRoman"/>
                <w:b w:val="0"/>
                <w:i w:val="0"/>
                <w:vanish w:val="0"/>
                <w:color w:val="000000"/>
                <w:sz w:val="24"/>
              </w:rPr>
            </w:pPr>
            <w:r>
              <w:rPr>
                <w:rStyle w:val="Strong"/>
                <w:rFonts w:ascii="TimesNewRoman" w:eastAsia="TimesNewRoman" w:hAnsi="TimesNewRoman" w:cs="TimesNewRoman"/>
                <w:b w:val="0"/>
                <w:i w:val="0"/>
                <w:vanish w:val="0"/>
                <w:color w:val="000000"/>
                <w:sz w:val="24"/>
              </w:rPr>
              <w:t xml:space="preserve">- Upravljanje mobilnih naprav </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Policija ima v skladu z informacijsko varnostno politiko, vzpostavljen sistem za upravljanje mobilnih naprav (EMM Enterprise Mobility Managment) na platformi MobileIron MDM. To omogoča policistom in kriminalistom, da na varen način dostopajo do podatkov in informacij Policije in EU sistemov s katerimi je povezan informacijski sistem Policije. S tem so postavljeni temelji varnega komuniciranja.</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Glavni izzivi in pripadajoče aktivnosti za njihovo reševanje:</w:t>
            </w:r>
          </w:p>
          <w:p w:rsidR="00A77B3E">
            <w:pPr>
              <w:numPr>
                <w:ilvl w:val="0"/>
                <w:numId w:val="7"/>
              </w:numPr>
              <w:spacing w:before="100" w:after="0"/>
              <w:ind w:left="720" w:hanging="36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Omogočiti varno komunikacijo in povezovanje v IKT sistem Policije.</w:t>
            </w:r>
          </w:p>
          <w:p w:rsidR="00A77B3E">
            <w:pPr>
              <w:numPr>
                <w:ilvl w:val="0"/>
                <w:numId w:val="7"/>
              </w:numPr>
              <w:spacing w:before="100" w:after="0"/>
              <w:ind w:left="720" w:hanging="36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Omogočiti varno in zanesljivo implementacijo varnostnih politik Policije.</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Varnost podatkov na mobilnih napravah lahko zagotavljamo le v primeru, če je mobilna naprava vključena v sistem za upravljanje mobilnih naprav, kar je tudi minimalna varnostna zahteva za uporabo tovrstnih naprav v Policiji.</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Pričakovani rezultati: vse mobilne naprave bodo vključene v sistem upravljanja.</w:t>
            </w:r>
          </w:p>
          <w:p w:rsidR="00A77B3E">
            <w:pPr>
              <w:spacing w:before="100" w:after="0"/>
              <w:jc w:val="left"/>
              <w:rPr>
                <w:rFonts w:ascii="TimesNewRoman" w:eastAsia="TimesNewRoman" w:hAnsi="TimesNewRoman" w:cs="TimesNewRoman"/>
                <w:b w:val="0"/>
                <w:i w:val="0"/>
                <w:vanish w:val="0"/>
                <w:color w:val="000000"/>
                <w:sz w:val="24"/>
              </w:rPr>
            </w:pPr>
          </w:p>
          <w:p w:rsidR="00A77B3E">
            <w:pPr>
              <w:spacing w:before="100" w:after="0"/>
              <w:jc w:val="left"/>
              <w:rPr>
                <w:rFonts w:ascii="TimesNewRoman" w:eastAsia="TimesNewRoman" w:hAnsi="TimesNewRoman" w:cs="TimesNewRoman"/>
                <w:b w:val="0"/>
                <w:i w:val="0"/>
                <w:vanish w:val="0"/>
                <w:color w:val="000000"/>
                <w:sz w:val="24"/>
              </w:rPr>
            </w:pPr>
            <w:r>
              <w:rPr>
                <w:rStyle w:val="Strong"/>
                <w:rFonts w:ascii="TimesNewRoman" w:eastAsia="TimesNewRoman" w:hAnsi="TimesNewRoman" w:cs="TimesNewRoman"/>
                <w:b w:val="0"/>
                <w:i w:val="0"/>
                <w:vanish w:val="0"/>
                <w:color w:val="000000"/>
                <w:sz w:val="24"/>
                <w:u w:val="single"/>
              </w:rPr>
              <w:t>3) Operativna podpora</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Na podlagi Zakona o nalogah in pooblastilih policije SI policija opravlja naloge zagotavljanja varnosti, spoštovanja človekovih pravic in temeljnih svoboščin, krepitev pravne države ter naloge preprečevanja in odpravljanja nevarnosti. Za krepitev notranje varnosti je torej pristojna policija, kamor sodi tudi izmenjava informacij med pristojnimi organi in mednarodnimi organizacijami, vključno s povečanjem komunikacijskih povezav. Operativna podpora v okviru SO1 vezano na izboljšanje in okrepitev izmenjave informacij zajema vzdrževanje omrežnih sistemov in stroške zaposlenih.</w:t>
            </w:r>
          </w:p>
          <w:p w:rsidR="00A77B3E">
            <w:pPr>
              <w:spacing w:before="100" w:after="0"/>
              <w:jc w:val="left"/>
              <w:rPr>
                <w:rFonts w:ascii="TimesNewRoman" w:eastAsia="TimesNewRoman" w:hAnsi="TimesNewRoman" w:cs="TimesNewRoman"/>
                <w:b w:val="0"/>
                <w:i w:val="0"/>
                <w:vanish w:val="0"/>
                <w:color w:val="000000"/>
                <w:sz w:val="24"/>
              </w:rPr>
            </w:pPr>
            <w:r>
              <w:rPr>
                <w:rStyle w:val="Strong"/>
                <w:rFonts w:ascii="TimesNewRoman" w:eastAsia="TimesNewRoman" w:hAnsi="TimesNewRoman" w:cs="TimesNewRoman"/>
                <w:b w:val="0"/>
                <w:i w:val="0"/>
                <w:vanish w:val="0"/>
                <w:color w:val="000000"/>
                <w:sz w:val="24"/>
              </w:rPr>
              <w:t>-Vzdrževanje omrežnih sistemov</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Za zagotavljanje delovanja omrežnih sistemov, ki so temelj za delovanje in uporabo informacijskih storitev policije in storitev za povezovanje z EU informacijskimi sistemi, je potrebno vzdrževati nameščeno opremo.</w:t>
            </w:r>
          </w:p>
          <w:p w:rsidR="00A77B3E">
            <w:pPr>
              <w:spacing w:before="100" w:after="0"/>
              <w:jc w:val="left"/>
              <w:rPr>
                <w:rFonts w:ascii="TimesNewRoman" w:eastAsia="TimesNewRoman" w:hAnsi="TimesNewRoman" w:cs="TimesNewRoman"/>
                <w:b w:val="0"/>
                <w:i w:val="0"/>
                <w:vanish w:val="0"/>
                <w:color w:val="000000"/>
                <w:sz w:val="24"/>
              </w:rPr>
            </w:pPr>
            <w:r>
              <w:rPr>
                <w:rStyle w:val="Strong"/>
                <w:rFonts w:ascii="TimesNewRoman" w:eastAsia="TimesNewRoman" w:hAnsi="TimesNewRoman" w:cs="TimesNewRoman"/>
                <w:b w:val="0"/>
                <w:i w:val="0"/>
                <w:vanish w:val="0"/>
                <w:color w:val="000000"/>
                <w:sz w:val="24"/>
              </w:rPr>
              <w:t>-Sredstva za osebje, ki je v pripravljenosti</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Za podpiranje področij podpore a, b, d, e, f, k in l iz Priloge III uredbe o SNV bo financirana pripravljenost strokovnjakov na posameznem področju za zagotavljanje podpore nemotenega delovanja informacijsko telekomunikacijskega sistema policije.</w:t>
            </w:r>
          </w:p>
          <w:p w:rsidR="00A77B3E">
            <w:pPr>
              <w:spacing w:before="100" w:after="0"/>
              <w:jc w:val="left"/>
              <w:rPr>
                <w:rFonts w:ascii="TimesNewRoman" w:eastAsia="TimesNewRoman" w:hAnsi="TimesNewRoman" w:cs="TimesNewRoman"/>
                <w:b w:val="0"/>
                <w:i w:val="0"/>
                <w:vanish w:val="0"/>
                <w:color w:val="000000"/>
                <w:sz w:val="6"/>
              </w:rPr>
            </w:pPr>
          </w:p>
          <w:p w:rsidR="00A77B3E">
            <w:pPr>
              <w:spacing w:before="100" w:after="0"/>
              <w:jc w:val="left"/>
              <w:rPr>
                <w:rFonts w:ascii="TimesNewRoman" w:eastAsia="TimesNewRoman" w:hAnsi="TimesNewRoman" w:cs="TimesNewRoman"/>
                <w:b w:val="0"/>
                <w:i w:val="0"/>
                <w:vanish w:val="0"/>
                <w:color w:val="000000"/>
                <w:sz w:val="6"/>
              </w:rPr>
            </w:pPr>
          </w:p>
        </w:tc>
      </w:tr>
    </w:tbl>
    <w:p w:rsidR="00A77B3E">
      <w:pPr>
        <w:spacing w:before="100" w:after="0"/>
        <w:jc w:val="left"/>
        <w:rPr>
          <w:rFonts w:ascii="TimesNewRoman" w:eastAsia="TimesNewRoman" w:hAnsi="TimesNewRoman" w:cs="TimesNewRoman"/>
          <w:b w:val="0"/>
          <w:i w:val="0"/>
          <w:vanish w:val="0"/>
          <w:color w:val="000000"/>
          <w:sz w:val="2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720" w:right="936" w:bottom="864" w:left="720" w:header="0" w:footer="72" w:gutter="0"/>
          <w:cols w:space="708"/>
          <w:noEndnote/>
          <w:docGrid w:linePitch="360"/>
        </w:sectPr>
      </w:pPr>
    </w:p>
    <w:p w:rsidR="00A77B3E">
      <w:pPr>
        <w:spacing w:before="100" w:after="0"/>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2.1. Specifični cilj 1. Izmenjava informacij</w:t>
      </w:r>
    </w:p>
    <w:p w:rsidR="00A77B3E">
      <w:pPr>
        <w:pStyle w:val="Heading3"/>
        <w:spacing w:before="100" w:after="0"/>
        <w:jc w:val="left"/>
        <w:rPr>
          <w:rFonts w:ascii="Times New Roman" w:eastAsia="Times New Roman" w:hAnsi="Times New Roman" w:cs="Times New Roman"/>
          <w:b w:val="0"/>
          <w:i w:val="0"/>
          <w:vanish w:val="0"/>
          <w:color w:val="000000"/>
          <w:sz w:val="24"/>
        </w:rPr>
      </w:pPr>
      <w:bookmarkStart w:id="4" w:name="_Toc256000059"/>
      <w:r>
        <w:rPr>
          <w:rFonts w:ascii="Times New Roman" w:eastAsia="Times New Roman" w:hAnsi="Times New Roman" w:cs="Times New Roman"/>
          <w:b w:val="0"/>
          <w:i w:val="0"/>
          <w:vanish w:val="0"/>
          <w:color w:val="000000"/>
          <w:sz w:val="24"/>
        </w:rPr>
        <w:t>2.1.2. Kazalniki</w:t>
      </w:r>
      <w:bookmarkEnd w:id="4"/>
    </w:p>
    <w:p w:rsidR="00A77B3E">
      <w:pPr>
        <w:spacing w:before="100" w:after="0"/>
        <w:jc w:val="left"/>
        <w:rPr>
          <w:rFonts w:ascii="Times New Roman" w:eastAsia="Times New Roman" w:hAnsi="Times New Roman" w:cs="Times New Roman"/>
          <w:b w:val="0"/>
          <w:i w:val="0"/>
          <w:vanish w:val="0"/>
          <w:color w:val="000000"/>
          <w:sz w:val="12"/>
        </w:rPr>
      </w:pPr>
      <w:r>
        <w:rPr>
          <w:rFonts w:ascii="Times New Roman" w:eastAsia="Times New Roman" w:hAnsi="Times New Roman" w:cs="Times New Roman"/>
          <w:b w:val="0"/>
          <w:i w:val="0"/>
          <w:vanish w:val="0"/>
          <w:color w:val="000000"/>
          <w:sz w:val="24"/>
        </w:rPr>
        <w:t>Sklic: člen 22(4)(e) uredbe o skupnih določbah</w:t>
      </w:r>
    </w:p>
    <w:p w:rsidR="00A77B3E">
      <w:pPr>
        <w:pStyle w:val="Heading4"/>
        <w:spacing w:before="100" w:after="0"/>
        <w:jc w:val="left"/>
        <w:rPr>
          <w:rFonts w:ascii="Times New Roman" w:eastAsia="Times New Roman" w:hAnsi="Times New Roman" w:cs="Times New Roman"/>
          <w:b w:val="0"/>
          <w:i w:val="0"/>
          <w:vanish w:val="0"/>
          <w:color w:val="000000"/>
          <w:sz w:val="24"/>
        </w:rPr>
      </w:pPr>
      <w:bookmarkStart w:id="5" w:name="_Toc256000060"/>
      <w:r>
        <w:rPr>
          <w:rFonts w:ascii="Times New Roman" w:eastAsia="Times New Roman" w:hAnsi="Times New Roman" w:cs="Times New Roman"/>
          <w:b w:val="0"/>
          <w:i w:val="0"/>
          <w:vanish w:val="0"/>
          <w:color w:val="000000"/>
          <w:sz w:val="24"/>
        </w:rPr>
        <w:t>Tabela 1: Kazalniki učinka</w:t>
      </w:r>
      <w:bookmarkEnd w:id="5"/>
    </w:p>
    <w:p w:rsidR="00A77B3E">
      <w:pPr>
        <w:spacing w:before="100" w:after="0"/>
        <w:jc w:val="left"/>
        <w:rPr>
          <w:rFonts w:ascii="Times New Roman" w:eastAsia="Times New Roman" w:hAnsi="Times New Roman" w:cs="Times New Roman"/>
          <w:b w:val="0"/>
          <w:i w:val="0"/>
          <w:vanish w:val="0"/>
          <w:color w:val="000000"/>
          <w:sz w:val="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1764"/>
        <w:gridCol w:w="8041"/>
        <w:gridCol w:w="1896"/>
        <w:gridCol w:w="2019"/>
        <w:gridCol w:w="1582"/>
      </w:tblGrid>
      <w:tr>
        <w:tblPrEx>
          <w:tblW w:w="5000" w:type="pct"/>
        </w:tblPrEx>
        <w:trPr>
          <w:cantSplit w:val="0"/>
          <w:trHeight w:hRule="auto" w:val="0"/>
          <w:tblHeader/>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Identifikator</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Kazalnik</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Merska enota</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Mejnik (2024)</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Cilj (2029)</w:t>
            </w:r>
          </w:p>
        </w:tc>
      </w:tr>
      <w:tr>
        <w:tblPrEx>
          <w:tblW w:w="5000" w:type="pct"/>
        </w:tblPrEx>
        <w:trPr>
          <w:cantSplit w:val="0"/>
          <w:trHeight w:hRule="auto" w:val="0"/>
          <w:tblHeader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O.1.1</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 xml:space="preserve">Število udeležencev dejavnosti usposabljanja </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število</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39</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93</w:t>
            </w:r>
          </w:p>
        </w:tc>
      </w:tr>
      <w:tr>
        <w:tblPrEx>
          <w:tblW w:w="5000" w:type="pct"/>
        </w:tblPrEx>
        <w:trPr>
          <w:cantSplit w:val="0"/>
          <w:trHeight w:hRule="auto" w:val="0"/>
          <w:tblHeader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O.1.2</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 xml:space="preserve">Število strokovnih srečanj/delavnic/študijskih obiskov </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število</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17</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67</w:t>
            </w:r>
          </w:p>
        </w:tc>
      </w:tr>
      <w:tr>
        <w:tblPrEx>
          <w:tblW w:w="5000" w:type="pct"/>
        </w:tblPrEx>
        <w:trPr>
          <w:cantSplit w:val="0"/>
          <w:trHeight w:hRule="auto" w:val="0"/>
          <w:tblHeader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O.1.3</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Število vzpostavljenih/prilagojenih/vzdrževanih sistemov IKT</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število</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6</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46</w:t>
            </w:r>
          </w:p>
        </w:tc>
      </w:tr>
      <w:tr>
        <w:tblPrEx>
          <w:tblW w:w="5000" w:type="pct"/>
        </w:tblPrEx>
        <w:trPr>
          <w:cantSplit w:val="0"/>
          <w:trHeight w:hRule="auto" w:val="0"/>
          <w:tblHeader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O.1.4</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Število kupljenih kosov opreme</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število</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1.224</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3.182</w:t>
            </w:r>
          </w:p>
        </w:tc>
      </w:tr>
    </w:tbl>
    <w:p w:rsidR="00A77B3E">
      <w:pPr>
        <w:spacing w:before="100" w:after="0"/>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0"/>
        </w:rPr>
        <w:br w:type="page"/>
      </w:r>
      <w:r>
        <w:rPr>
          <w:rFonts w:ascii="Times New Roman" w:eastAsia="Times New Roman" w:hAnsi="Times New Roman" w:cs="Times New Roman"/>
          <w:b w:val="0"/>
          <w:i w:val="0"/>
          <w:vanish w:val="0"/>
          <w:color w:val="000000"/>
          <w:sz w:val="24"/>
        </w:rPr>
        <w:t>2.1. Specifični cilj 1. Izmenjava informacij</w:t>
      </w:r>
    </w:p>
    <w:p w:rsidR="00A77B3E">
      <w:pPr>
        <w:spacing w:before="100" w:after="0"/>
        <w:jc w:val="left"/>
        <w:rPr>
          <w:rFonts w:ascii="Times New Roman" w:eastAsia="Times New Roman" w:hAnsi="Times New Roman" w:cs="Times New Roman"/>
          <w:b w:val="0"/>
          <w:i w:val="0"/>
          <w:vanish w:val="0"/>
          <w:color w:val="000000"/>
          <w:sz w:val="0"/>
        </w:rPr>
      </w:pPr>
      <w:r>
        <w:rPr>
          <w:rFonts w:ascii="Times New Roman" w:eastAsia="Times New Roman" w:hAnsi="Times New Roman" w:cs="Times New Roman"/>
          <w:b w:val="0"/>
          <w:i w:val="0"/>
          <w:vanish w:val="0"/>
          <w:color w:val="000000"/>
          <w:sz w:val="24"/>
        </w:rPr>
        <w:t>2.1.2. Kazalniki</w:t>
      </w:r>
    </w:p>
    <w:p w:rsidR="00A77B3E">
      <w:pPr>
        <w:spacing w:before="100" w:after="0"/>
        <w:jc w:val="left"/>
        <w:rPr>
          <w:rFonts w:ascii="Times New Roman" w:eastAsia="Times New Roman" w:hAnsi="Times New Roman" w:cs="Times New Roman"/>
          <w:b w:val="0"/>
          <w:i w:val="0"/>
          <w:vanish w:val="0"/>
          <w:color w:val="000000"/>
          <w:sz w:val="12"/>
        </w:rPr>
      </w:pPr>
      <w:r>
        <w:rPr>
          <w:rFonts w:ascii="Times New Roman" w:eastAsia="Times New Roman" w:hAnsi="Times New Roman" w:cs="Times New Roman"/>
          <w:b w:val="0"/>
          <w:i w:val="0"/>
          <w:vanish w:val="0"/>
          <w:color w:val="000000"/>
          <w:sz w:val="24"/>
        </w:rPr>
        <w:t>Sklic: člen 22(4)(e) uredbe o skupnih določbah</w:t>
      </w:r>
    </w:p>
    <w:p w:rsidR="00A77B3E">
      <w:pPr>
        <w:pStyle w:val="Heading4"/>
        <w:spacing w:before="100" w:after="0"/>
        <w:jc w:val="left"/>
        <w:rPr>
          <w:rFonts w:ascii="Times New Roman" w:eastAsia="Times New Roman" w:hAnsi="Times New Roman" w:cs="Times New Roman"/>
          <w:b w:val="0"/>
          <w:i w:val="0"/>
          <w:vanish w:val="0"/>
          <w:color w:val="000000"/>
          <w:sz w:val="24"/>
        </w:rPr>
      </w:pPr>
      <w:bookmarkStart w:id="6" w:name="_Toc256000061"/>
      <w:r>
        <w:rPr>
          <w:rFonts w:ascii="Times New Roman" w:eastAsia="Times New Roman" w:hAnsi="Times New Roman" w:cs="Times New Roman"/>
          <w:b w:val="0"/>
          <w:i w:val="0"/>
          <w:vanish w:val="0"/>
          <w:color w:val="000000"/>
          <w:sz w:val="24"/>
        </w:rPr>
        <w:t>Tabela 2: Kazalniki rezultatov</w:t>
      </w:r>
      <w:bookmarkEnd w:id="6"/>
    </w:p>
    <w:p w:rsidR="00A77B3E">
      <w:pPr>
        <w:spacing w:before="100" w:after="0"/>
        <w:jc w:val="left"/>
        <w:rPr>
          <w:rFonts w:ascii="Times New Roman" w:eastAsia="Times New Roman" w:hAnsi="Times New Roman" w:cs="Times New Roman"/>
          <w:b w:val="0"/>
          <w:i w:val="0"/>
          <w:vanish w:val="0"/>
          <w:color w:val="000000"/>
          <w:sz w:val="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Pr>
      <w:tblGrid>
        <w:gridCol w:w="760"/>
        <w:gridCol w:w="2276"/>
        <w:gridCol w:w="1517"/>
        <w:gridCol w:w="1517"/>
        <w:gridCol w:w="1517"/>
        <w:gridCol w:w="1517"/>
        <w:gridCol w:w="1517"/>
        <w:gridCol w:w="1517"/>
        <w:gridCol w:w="1517"/>
        <w:gridCol w:w="1517"/>
      </w:tblGrid>
      <w:tr>
        <w:tblPrEx>
          <w:tblW w:w="5000" w:type="pct"/>
          <w:tblLayout w:type="fixed"/>
        </w:tblPrEx>
        <w:trPr>
          <w:cantSplit w:val="0"/>
          <w:trHeight w:hRule="auto" w:val="0"/>
          <w:tblHeader/>
        </w:trPr>
        <w:tc>
          <w:tcPr>
            <w:tcW w:w="25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Identifikator</w:t>
            </w:r>
          </w:p>
        </w:tc>
        <w:tc>
          <w:tcPr>
            <w:tcW w:w="75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Kazalnik</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Merska enota</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Izhodišče</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Merska enota za izhodišče</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Referenčna leta</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Cilj (2029)</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Merska enota za cilj</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Vir podatkov</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Opombe</w:t>
            </w:r>
          </w:p>
        </w:tc>
      </w:tr>
      <w:tr>
        <w:tblPrEx>
          <w:tblW w:w="5000" w:type="pct"/>
          <w:tblLayout w:type="fixed"/>
        </w:tblPrEx>
        <w:trPr>
          <w:cantSplit w:val="0"/>
          <w:trHeight w:hRule="auto" w:val="0"/>
          <w:tblHeader w:val="0"/>
        </w:trPr>
        <w:tc>
          <w:tcPr>
            <w:tcW w:w="25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R.1.5</w:t>
            </w:r>
          </w:p>
        </w:tc>
        <w:tc>
          <w:tcPr>
            <w:tcW w:w="75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Število sistemov IKT, ki so interoperabilni v državah članicah/z za varnost pomembnimi informacijskimi sistemi na ravni EU in decentralizirani ravni/z mednarodnimi podatkovnimi zbirkami</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število</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število</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2021-2022</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5</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število</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Evidenca Policije.</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p>
        </w:tc>
      </w:tr>
      <w:tr>
        <w:tblPrEx>
          <w:tblW w:w="5000" w:type="pct"/>
          <w:tblLayout w:type="fixed"/>
        </w:tblPrEx>
        <w:trPr>
          <w:cantSplit w:val="0"/>
          <w:trHeight w:hRule="auto" w:val="0"/>
          <w:tblHeader w:val="0"/>
        </w:trPr>
        <w:tc>
          <w:tcPr>
            <w:tcW w:w="25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R.1.6</w:t>
            </w:r>
          </w:p>
        </w:tc>
        <w:tc>
          <w:tcPr>
            <w:tcW w:w="75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Število upravnih enot, ki so vzpostavile nove ali posodobile obstoječe mehanizme/postopke/orodja/smernice za izmenjavo informacij z drugimi državami članicami/agencijami EU/mednarodnimi organizacijami/tretjimi državami</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število</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število</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2021</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3</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število</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Poročila o zaključku projekta.</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p>
        </w:tc>
      </w:tr>
      <w:tr>
        <w:tblPrEx>
          <w:tblW w:w="5000" w:type="pct"/>
          <w:tblLayout w:type="fixed"/>
        </w:tblPrEx>
        <w:trPr>
          <w:cantSplit w:val="0"/>
          <w:trHeight w:hRule="auto" w:val="0"/>
          <w:tblHeader w:val="0"/>
        </w:trPr>
        <w:tc>
          <w:tcPr>
            <w:tcW w:w="25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R.1.7</w:t>
            </w:r>
          </w:p>
        </w:tc>
        <w:tc>
          <w:tcPr>
            <w:tcW w:w="75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Število udeležencev, ki menijo, da je usposabljanje koristno za njihovo delo</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število</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delež</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2021</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83</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število</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Podatki nacionalne PNR enote in ISCIU, liste prisotnosti na usposabljanjih, anketni listi.</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p>
        </w:tc>
      </w:tr>
      <w:tr>
        <w:tblPrEx>
          <w:tblW w:w="5000" w:type="pct"/>
          <w:tblLayout w:type="fixed"/>
        </w:tblPrEx>
        <w:trPr>
          <w:cantSplit w:val="0"/>
          <w:trHeight w:hRule="auto" w:val="0"/>
          <w:tblHeader w:val="0"/>
        </w:trPr>
        <w:tc>
          <w:tcPr>
            <w:tcW w:w="25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R.1.8</w:t>
            </w:r>
          </w:p>
        </w:tc>
        <w:tc>
          <w:tcPr>
            <w:tcW w:w="75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Število udeležencev, ki tri mesece po usposabljanju poročajo, da uporabljajo spretnosti in kompetence, pridobljene med usposabljanjem</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število</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delež</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2021</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76</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število</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 xml:space="preserve">Podatki nacionalne PNR enote in ISCIU, liste prisotnosti </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p>
        </w:tc>
      </w:tr>
    </w:tbl>
    <w:p w:rsidR="00A77B3E">
      <w:pPr>
        <w:spacing w:before="100" w:after="0"/>
        <w:jc w:val="left"/>
        <w:rPr>
          <w:rFonts w:ascii="Times New Roman" w:eastAsia="Times New Roman" w:hAnsi="Times New Roman" w:cs="Times New Roman"/>
          <w:b w:val="0"/>
          <w:i w:val="0"/>
          <w:vanish w:val="0"/>
          <w:color w:val="000000"/>
          <w:sz w:val="20"/>
        </w:rPr>
        <w:sectPr>
          <w:headerReference w:type="even" r:id="rId22"/>
          <w:headerReference w:type="default" r:id="rId23"/>
          <w:footerReference w:type="even" r:id="rId24"/>
          <w:footerReference w:type="default" r:id="rId25"/>
          <w:headerReference w:type="first" r:id="rId26"/>
          <w:footerReference w:type="first" r:id="rId27"/>
          <w:type w:val="nextPage"/>
          <w:pgSz w:w="16838" w:h="11906" w:orient="landscape"/>
          <w:pgMar w:top="720" w:right="720" w:bottom="864" w:left="936" w:header="288" w:footer="72" w:gutter="0"/>
          <w:cols w:space="708"/>
          <w:noEndnote/>
          <w:docGrid w:linePitch="360"/>
        </w:sectPr>
      </w:pPr>
    </w:p>
    <w:p w:rsidR="00A77B3E">
      <w:pPr>
        <w:spacing w:before="100" w:after="0"/>
        <w:jc w:val="left"/>
        <w:rPr>
          <w:rFonts w:ascii="Times New Roman" w:eastAsia="Times New Roman" w:hAnsi="Times New Roman" w:cs="Times New Roman"/>
          <w:b w:val="0"/>
          <w:i w:val="0"/>
          <w:vanish w:val="0"/>
          <w:color w:val="000000"/>
          <w:sz w:val="0"/>
        </w:rPr>
      </w:pPr>
      <w:r>
        <w:rPr>
          <w:rFonts w:ascii="Times New Roman" w:eastAsia="Times New Roman" w:hAnsi="Times New Roman" w:cs="Times New Roman"/>
          <w:b w:val="0"/>
          <w:i w:val="0"/>
          <w:vanish w:val="0"/>
          <w:color w:val="000000"/>
          <w:sz w:val="24"/>
        </w:rPr>
        <w:t>2.1. Specifični cilj 1. Izmenjava informacij</w:t>
      </w:r>
    </w:p>
    <w:p w:rsidR="00A77B3E">
      <w:pPr>
        <w:pStyle w:val="Heading3"/>
        <w:spacing w:before="100" w:after="0"/>
        <w:jc w:val="left"/>
        <w:rPr>
          <w:rFonts w:ascii="Times New Roman" w:eastAsia="Times New Roman" w:hAnsi="Times New Roman" w:cs="Times New Roman"/>
          <w:b w:val="0"/>
          <w:i w:val="0"/>
          <w:vanish w:val="0"/>
          <w:color w:val="000000"/>
          <w:sz w:val="24"/>
        </w:rPr>
      </w:pPr>
      <w:bookmarkStart w:id="7" w:name="_Toc256000062"/>
      <w:r>
        <w:rPr>
          <w:rFonts w:ascii="Times New Roman" w:eastAsia="Times New Roman" w:hAnsi="Times New Roman" w:cs="Times New Roman"/>
          <w:b w:val="0"/>
          <w:i w:val="0"/>
          <w:vanish w:val="0"/>
          <w:color w:val="000000"/>
          <w:sz w:val="24"/>
        </w:rPr>
        <w:t>2.1.3. Okvirna razčlenitev programskih sredstev (EU) po vrsti ukrepa</w:t>
      </w:r>
      <w:bookmarkEnd w:id="7"/>
    </w:p>
    <w:p w:rsidR="00A77B3E">
      <w:pPr>
        <w:spacing w:before="100" w:after="0"/>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Sklic: člen 22(5) uredbe o skupnih določbah, člen 16(2) uredbe o AMIF, člen 13(12) uredbe o SNV ali člen 13(18) uredbe o IUMV</w:t>
      </w:r>
    </w:p>
    <w:p w:rsidR="00A77B3E">
      <w:pPr>
        <w:pStyle w:val="Heading4"/>
        <w:spacing w:before="100" w:after="0"/>
        <w:jc w:val="left"/>
        <w:rPr>
          <w:rFonts w:ascii="Times New Roman" w:eastAsia="Times New Roman" w:hAnsi="Times New Roman" w:cs="Times New Roman"/>
          <w:b w:val="0"/>
          <w:i w:val="0"/>
          <w:vanish w:val="0"/>
          <w:color w:val="000000"/>
          <w:sz w:val="24"/>
        </w:rPr>
      </w:pPr>
      <w:bookmarkStart w:id="8" w:name="_Toc256000063"/>
      <w:r>
        <w:rPr>
          <w:rFonts w:ascii="Times New Roman" w:eastAsia="Times New Roman" w:hAnsi="Times New Roman" w:cs="Times New Roman"/>
          <w:b w:val="0"/>
          <w:i w:val="0"/>
          <w:vanish w:val="0"/>
          <w:color w:val="000000"/>
          <w:sz w:val="24"/>
        </w:rPr>
        <w:t>Tabela 3: Okvirna razčlenitev</w:t>
      </w:r>
      <w:bookmarkEnd w:id="8"/>
    </w:p>
    <w:p w:rsidR="00A77B3E">
      <w:pPr>
        <w:spacing w:before="100" w:after="0"/>
        <w:jc w:val="left"/>
        <w:rPr>
          <w:rFonts w:ascii="Times New Roman" w:eastAsia="Times New Roman" w:hAnsi="Times New Roman" w:cs="Times New Roman"/>
          <w:b w:val="0"/>
          <w:i w:val="0"/>
          <w:vanish w:val="0"/>
          <w:color w:val="000000"/>
          <w:sz w:val="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1845"/>
        <w:gridCol w:w="10989"/>
        <w:gridCol w:w="2468"/>
      </w:tblGrid>
      <w:tr>
        <w:tblPrEx>
          <w:tblW w:w="5000" w:type="pct"/>
        </w:tblPrEx>
        <w:trPr>
          <w:cantSplit w:val="0"/>
          <w:trHeight w:hRule="auto" w:val="0"/>
          <w:tblHeader/>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Vrsta intervencije</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Oznaka</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Okvirni znesek (v EUR)</w:t>
            </w:r>
          </w:p>
        </w:tc>
      </w:tr>
      <w:tr>
        <w:tblPrEx>
          <w:tblW w:w="5000" w:type="pct"/>
        </w:tblPrEx>
        <w:trPr>
          <w:cantSplit w:val="0"/>
          <w:trHeight w:hRule="auto" w:val="0"/>
          <w:tblHeader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Vrsta ukrepa</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001.Sistemi IKT, interoperabilnost, kakovost podatkov (razen opreme)</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7.503.772,12</w:t>
            </w:r>
          </w:p>
        </w:tc>
      </w:tr>
      <w:tr>
        <w:tblPrEx>
          <w:tblW w:w="5000" w:type="pct"/>
        </w:tblPrEx>
        <w:trPr>
          <w:cantSplit w:val="0"/>
          <w:trHeight w:hRule="auto" w:val="0"/>
          <w:tblHeader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Vrsta ukrepa</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002.Omrežja, centri odličnosti, strukture sodelovanja, skupni ukrepi in operacije</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0,00</w:t>
            </w:r>
          </w:p>
        </w:tc>
      </w:tr>
      <w:tr>
        <w:tblPrEx>
          <w:tblW w:w="5000" w:type="pct"/>
        </w:tblPrEx>
        <w:trPr>
          <w:cantSplit w:val="0"/>
          <w:trHeight w:hRule="auto" w:val="0"/>
          <w:tblHeader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Vrsta ukrepa</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003.Skupne preiskovalne skupine ali druge skupne operacije</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0,00</w:t>
            </w:r>
          </w:p>
        </w:tc>
      </w:tr>
      <w:tr>
        <w:tblPrEx>
          <w:tblW w:w="5000" w:type="pct"/>
        </w:tblPrEx>
        <w:trPr>
          <w:cantSplit w:val="0"/>
          <w:trHeight w:hRule="auto" w:val="0"/>
          <w:tblHeader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Vrsta ukrepa</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004.Napotitev ali premestitev strokovnjakov</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0,00</w:t>
            </w:r>
          </w:p>
        </w:tc>
      </w:tr>
      <w:tr>
        <w:tblPrEx>
          <w:tblW w:w="5000" w:type="pct"/>
        </w:tblPrEx>
        <w:trPr>
          <w:cantSplit w:val="0"/>
          <w:trHeight w:hRule="auto" w:val="0"/>
          <w:tblHeader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Vrsta ukrepa</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005.Usposabljanje</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99.675,00</w:t>
            </w:r>
          </w:p>
        </w:tc>
      </w:tr>
      <w:tr>
        <w:tblPrEx>
          <w:tblW w:w="5000" w:type="pct"/>
        </w:tblPrEx>
        <w:trPr>
          <w:cantSplit w:val="0"/>
          <w:trHeight w:hRule="auto" w:val="0"/>
          <w:tblHeader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Vrsta ukrepa</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006.Izmenjava dobrih praks, delavnice, konference, dogodki, kampanje za ozaveščanje, dejavnosti komuniciranja</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30.000,00</w:t>
            </w:r>
          </w:p>
        </w:tc>
      </w:tr>
      <w:tr>
        <w:tblPrEx>
          <w:tblW w:w="5000" w:type="pct"/>
        </w:tblPrEx>
        <w:trPr>
          <w:cantSplit w:val="0"/>
          <w:trHeight w:hRule="auto" w:val="0"/>
          <w:tblHeader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Vrsta ukrepa</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007.Študije, pilotni projekti, ocene tveganja</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188.450,00</w:t>
            </w:r>
          </w:p>
        </w:tc>
      </w:tr>
      <w:tr>
        <w:tblPrEx>
          <w:tblW w:w="5000" w:type="pct"/>
        </w:tblPrEx>
        <w:trPr>
          <w:cantSplit w:val="0"/>
          <w:trHeight w:hRule="auto" w:val="0"/>
          <w:tblHeader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Vrsta ukrepa</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008.Oprema</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2.357.936,60</w:t>
            </w:r>
          </w:p>
        </w:tc>
      </w:tr>
      <w:tr>
        <w:tblPrEx>
          <w:tblW w:w="5000" w:type="pct"/>
        </w:tblPrEx>
        <w:trPr>
          <w:cantSplit w:val="0"/>
          <w:trHeight w:hRule="auto" w:val="0"/>
          <w:tblHeader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Vrsta ukrepa</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009.Prevozna sredstva</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0,00</w:t>
            </w:r>
          </w:p>
        </w:tc>
      </w:tr>
      <w:tr>
        <w:tblPrEx>
          <w:tblW w:w="5000" w:type="pct"/>
        </w:tblPrEx>
        <w:trPr>
          <w:cantSplit w:val="0"/>
          <w:trHeight w:hRule="auto" w:val="0"/>
          <w:tblHeader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Vrsta ukrepa</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010.Stavbe, objekti</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0,00</w:t>
            </w:r>
          </w:p>
        </w:tc>
      </w:tr>
      <w:tr>
        <w:tblPrEx>
          <w:tblW w:w="5000" w:type="pct"/>
        </w:tblPrEx>
        <w:trPr>
          <w:cantSplit w:val="0"/>
          <w:trHeight w:hRule="auto" w:val="0"/>
          <w:tblHeader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Vrsta ukrepa</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011.Uporaba raziskovalnih projektov ali drugi nadaljnji ukrepi na podlagi teh projektov</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0,00</w:t>
            </w:r>
          </w:p>
        </w:tc>
      </w:tr>
    </w:tbl>
    <w:p w:rsidR="00A77B3E">
      <w:pPr>
        <w:spacing w:before="100" w:after="0"/>
        <w:jc w:val="left"/>
        <w:rPr>
          <w:rFonts w:ascii="Times New Roman" w:eastAsia="Times New Roman" w:hAnsi="Times New Roman" w:cs="Times New Roman"/>
          <w:b w:val="0"/>
          <w:i w:val="0"/>
          <w:vanish w:val="0"/>
          <w:color w:val="000000"/>
          <w:sz w:val="20"/>
        </w:rPr>
        <w:sectPr>
          <w:type w:val="nextPage"/>
          <w:pgSz w:w="16838" w:h="11906" w:orient="landscape"/>
          <w:pgMar w:top="720" w:right="720" w:bottom="864" w:left="936" w:header="288" w:footer="72" w:gutter="0"/>
          <w:cols w:space="708"/>
          <w:noEndnote/>
          <w:docGrid w:linePitch="360"/>
        </w:sectPr>
      </w:pPr>
    </w:p>
    <w:p w:rsidR="00A77B3E">
      <w:pPr>
        <w:pStyle w:val="Heading2"/>
        <w:spacing w:before="100" w:after="0"/>
        <w:jc w:val="left"/>
        <w:rPr>
          <w:rFonts w:ascii="TimesNewRoman" w:eastAsia="TimesNewRoman" w:hAnsi="TimesNewRoman" w:cs="TimesNewRoman"/>
          <w:b w:val="0"/>
          <w:i w:val="0"/>
          <w:vanish w:val="0"/>
          <w:color w:val="000000"/>
          <w:sz w:val="24"/>
        </w:rPr>
      </w:pPr>
      <w:bookmarkStart w:id="9" w:name="_Toc256000064"/>
      <w:r>
        <w:rPr>
          <w:rFonts w:ascii="TimesNewRoman" w:eastAsia="TimesNewRoman" w:hAnsi="TimesNewRoman" w:cs="TimesNewRoman"/>
          <w:b w:val="0"/>
          <w:i w:val="0"/>
          <w:vanish w:val="0"/>
          <w:color w:val="000000"/>
          <w:sz w:val="24"/>
        </w:rPr>
        <w:t>2.1. Specifični cilj: 2. Čezmejno sodelovanje</w:t>
      </w:r>
      <w:bookmarkEnd w:id="9"/>
    </w:p>
    <w:p w:rsidR="00A77B3E">
      <w:pPr>
        <w:spacing w:before="100" w:after="0"/>
        <w:jc w:val="left"/>
        <w:rPr>
          <w:rFonts w:ascii="TimesNewRoman" w:eastAsia="TimesNewRoman" w:hAnsi="TimesNewRoman" w:cs="TimesNewRoman"/>
          <w:b w:val="0"/>
          <w:i w:val="0"/>
          <w:vanish w:val="0"/>
          <w:color w:val="000000"/>
          <w:sz w:val="0"/>
        </w:rPr>
      </w:pPr>
    </w:p>
    <w:p w:rsidR="00A77B3E">
      <w:pPr>
        <w:pStyle w:val="Heading3"/>
        <w:spacing w:before="100" w:after="0"/>
        <w:jc w:val="left"/>
        <w:rPr>
          <w:rFonts w:ascii="TimesNewRoman" w:eastAsia="TimesNewRoman" w:hAnsi="TimesNewRoman" w:cs="TimesNewRoman"/>
          <w:b w:val="0"/>
          <w:i w:val="0"/>
          <w:vanish w:val="0"/>
          <w:color w:val="000000"/>
          <w:sz w:val="24"/>
        </w:rPr>
      </w:pPr>
      <w:bookmarkStart w:id="10" w:name="_Toc256000065"/>
      <w:r>
        <w:rPr>
          <w:rFonts w:ascii="TimesNewRoman" w:eastAsia="TimesNewRoman" w:hAnsi="TimesNewRoman" w:cs="TimesNewRoman"/>
          <w:b w:val="0"/>
          <w:i w:val="0"/>
          <w:vanish w:val="0"/>
          <w:color w:val="000000"/>
          <w:sz w:val="24"/>
        </w:rPr>
        <w:t>2.1.1. Opis specifičnega cilja</w:t>
      </w:r>
      <w:bookmarkEnd w:id="10"/>
    </w:p>
    <w:p w:rsidR="00A77B3E">
      <w:pPr>
        <w:spacing w:before="100" w:after="0"/>
        <w:jc w:val="left"/>
        <w:rPr>
          <w:rFonts w:ascii="TimesNewRoman" w:eastAsia="TimesNewRoman" w:hAnsi="TimesNewRoman" w:cs="TimesNewRoman"/>
          <w:b w:val="0"/>
          <w:i w:val="0"/>
          <w:vanish w:val="0"/>
          <w:color w:val="000000"/>
          <w:sz w:val="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Pr>
      <w:tblGrid>
        <w:gridCol w:w="10240"/>
      </w:tblGrid>
      <w:tr>
        <w:tblPrEx>
          <w:tblW w:w="5000" w:type="pct"/>
          <w:tblLayout w:type="fixed"/>
        </w:tblPrEx>
        <w:trPr>
          <w:cantSplit w:val="0"/>
          <w:trHeight w:hRule="auto" w:val="0"/>
          <w:tblHeader w:val="0"/>
        </w:trPr>
        <w:tc>
          <w:tcPr>
            <w:tcW w:w="50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0"/>
              </w:rPr>
            </w:pP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Ukrepi SI bodo v okviru SO2 še naprej osredotočeni na krepitev sodelovanja. SI v okviru tega posebnega cilja pričakuje nadaljevanje aktivnosti iz pretekle finančne sheme, kot opisano v prvem delu Programa, nove aktivnosti, opisane v nadaljevanju in s tem reševanje izzivov in vrzeli, ki so nastali na tem področju. Zaradi geografske lege Slovenije bo sodelovanje potekalo v okviru vseh prednostnih nalog EMPACT, ki podpirajo operativne aktivnosti in prizadevanja v boju proti organiziranemu kriminalu, terorizmu in skupnim dejavnostim, s poudarkom na odkrivanju kriminala na zahodno-balkanski poti.</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Ključni resor je MNZJU, Policija (policija), ki je pristojno za področje čezmejnega in medagencijskega sodelovanja za zagotavljanje notranje varnosti ter operacije kazenskega pregona. Sredstva sklada bodo dodeljena preko neposredne dodelitve, zaradi zakonskih pristojnosti s predmetnega področja. Sredstva SNV predstavljajo le del sredstev za uresničevanje zastavljenih ciljev na predmetnem področju. Drugi del pa bo zagotovljen iz nacionalnega proračuna SI in bo namenjen predvsem plačam zaposlenih ter drugim materialnim stroškom.</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Znotraj spodaj navedenih izvedbenih ukrepov iz Priloge II (a, b, c) bo SI usmerjena na področja podpore h, f, k, l iz Priloge III.</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V okviru svojih vsakodnevnih operacij bo SI nadaljevala in planirala sodelovanje v predmetnih aktivnostih EMPACT. Načrtovanje in delovanje bodo predmet usklajevanja z nacionalnimi koordinatorji EMPACT (NEC), z EUROPOL in podporno skupino EMPACT ter z vsemi drugimi agencijami, institucijami in organi EU, ki so vključeni ali podpirajo EMPACT (Frontex, Eurojust, CEPOL, EK, itd.).</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Slovenija bo nadaljevala z aktivnim članstvom v trenutnih (EMPACT 2022+) prioritetah. V sodelovanju z nacionalnim koordinatorjem EMPACT EUROPOL in njegovo podporno enoto EMPACT ter drugimi agencijami EU načrtujemo aktivnejšo vlogo slovenske policije pri izvajanju konkretnih operativnih aktivnosti (nacionalne in mednarodne policijske operacije). Aktivno sodelujemo pri pripravi operativnih akcijskih načrtov, predvsem na področjih prepovedanih drog, tihotapljenja migrantov in trgovine z ljudmi (predvsem v povezavi z ZB), okoljskega kriminala in kibernetske kriminalitete, vključno s spletno spolno zlorabo otrok. Ker te prednostne naloge označujejo tudi naše nacionalne prednostne naloge, bomo v sodelovanju z nosilci teh prednostnih nalog v celoti izkoristili orodja, ki so na voljo, tako za naše nacionalne preiskave, kot tudi mednarodne preiskave, ki jih izvajamo.</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SI sodeluje pri posebnem ukrepu EMPACT ISF/2022/SA/2.2.1/012 s sodelovanjem v enem projektu (glej dodatek 3).</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Pričakovani rezultati:</w:t>
            </w:r>
          </w:p>
          <w:p w:rsidR="00A77B3E">
            <w:pPr>
              <w:numPr>
                <w:ilvl w:val="0"/>
                <w:numId w:val="8"/>
              </w:numPr>
              <w:spacing w:before="100" w:after="0"/>
              <w:ind w:left="720" w:hanging="36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Okrepitev mednarodnega policijskega sodelovanja z izvajanjem skupnih čezmejnih operacij in JIT ter prikritih preiskovalnih ukrepov za preiskovanje hudih in organiziranih oblik čezmejne kriminalitete.</w:t>
            </w:r>
          </w:p>
          <w:p w:rsidR="00A77B3E">
            <w:pPr>
              <w:numPr>
                <w:ilvl w:val="0"/>
                <w:numId w:val="8"/>
              </w:numPr>
              <w:spacing w:before="100" w:after="0"/>
              <w:ind w:left="720" w:hanging="36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Funkcionalna opremljenost centrov za mednarodno sodelovanje, razvoj analitičnih zmogljivosti skladno s CROLEC, izboljšana jezikovna usposobljenost zaposlenih (priporočilo sveta 2022/915) ter izmenjava znanja in dobrih praks.</w:t>
            </w:r>
          </w:p>
          <w:p w:rsidR="00A77B3E">
            <w:pPr>
              <w:numPr>
                <w:ilvl w:val="0"/>
                <w:numId w:val="8"/>
              </w:numPr>
              <w:spacing w:before="100" w:after="0"/>
              <w:ind w:left="720" w:hanging="36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Kadrovska in tehnična podpora enotni vstopni točki (SPOC).</w:t>
            </w:r>
          </w:p>
          <w:p w:rsidR="00A77B3E">
            <w:pPr>
              <w:numPr>
                <w:ilvl w:val="0"/>
                <w:numId w:val="8"/>
              </w:numPr>
              <w:spacing w:before="100" w:after="0"/>
              <w:ind w:left="720" w:hanging="36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V okviru sodelovanja z ENFSI bo ohranjena strokovnost in okrepljeno operativno sodelovanje na forenzični ravni. Z izmenjavo znanja, dobrih praks in sodelovanjem v usposabljanjih in raziskovalnih operacijah ENFSI bo zagotovljena višja kakovost dela in metod, hkrati pa se bo prispevalo k nadaljnjim razvojnim korakom združenja ENFSI in širše evropske forenzične skupnosti.</w:t>
            </w:r>
          </w:p>
          <w:p w:rsidR="00A77B3E">
            <w:pPr>
              <w:numPr>
                <w:ilvl w:val="0"/>
                <w:numId w:val="8"/>
              </w:numPr>
              <w:spacing w:before="100" w:after="0"/>
              <w:ind w:left="720" w:hanging="36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V okviru sodelovanja z mednarodno povezavo ATLAS bo ohranjena strokovnost in okrepljena operativna zmogljivosti na področju protiteroristične dejavnosti. Z izmenjavo znanja, dobrih praks in sodelovanjem v delovnih skupinah in forumih mednarodnega združenja ATLAS (BUILDING, ENTRY, C4, Commanders forum) se bo dosegla višja strokovna usposobljenosti Specialne enote Policije za delovanje v SI, kot tudi krepitev za delovanje na področju EU in zagotavljanje najvišjega nivoja človekovih pravic.</w:t>
            </w:r>
          </w:p>
          <w:p w:rsidR="00A77B3E">
            <w:pPr>
              <w:spacing w:before="100" w:after="0"/>
              <w:jc w:val="left"/>
              <w:rPr>
                <w:rFonts w:ascii="TimesNewRoman" w:eastAsia="TimesNewRoman" w:hAnsi="TimesNewRoman" w:cs="TimesNewRoman"/>
                <w:b w:val="0"/>
                <w:i w:val="0"/>
                <w:vanish w:val="0"/>
                <w:color w:val="000000"/>
                <w:sz w:val="24"/>
              </w:rPr>
            </w:pPr>
          </w:p>
          <w:p w:rsidR="00A77B3E">
            <w:pPr>
              <w:spacing w:before="100" w:after="0"/>
              <w:jc w:val="left"/>
              <w:rPr>
                <w:rFonts w:ascii="TimesNewRoman" w:eastAsia="TimesNewRoman" w:hAnsi="TimesNewRoman" w:cs="TimesNewRoman"/>
                <w:b w:val="0"/>
                <w:i w:val="0"/>
                <w:vanish w:val="0"/>
                <w:color w:val="000000"/>
                <w:sz w:val="24"/>
              </w:rPr>
            </w:pPr>
            <w:r>
              <w:rPr>
                <w:rStyle w:val="Strong"/>
                <w:rFonts w:ascii="TimesNewRoman" w:eastAsia="TimesNewRoman" w:hAnsi="TimesNewRoman" w:cs="TimesNewRoman"/>
                <w:b w:val="0"/>
                <w:i w:val="0"/>
                <w:vanish w:val="0"/>
                <w:color w:val="000000"/>
                <w:sz w:val="24"/>
              </w:rPr>
              <w:t xml:space="preserve">1) </w:t>
            </w:r>
            <w:r>
              <w:rPr>
                <w:rStyle w:val="Strong"/>
                <w:rFonts w:ascii="TimesNewRoman" w:eastAsia="TimesNewRoman" w:hAnsi="TimesNewRoman" w:cs="TimesNewRoman"/>
                <w:b w:val="0"/>
                <w:i w:val="0"/>
                <w:vanish w:val="0"/>
                <w:color w:val="000000"/>
                <w:sz w:val="24"/>
                <w:u w:val="single"/>
              </w:rPr>
              <w:t>Izvedbeni ukrep 2a): Čezmejne operacije kazenskega pregona</w:t>
            </w:r>
          </w:p>
          <w:p w:rsidR="00A77B3E">
            <w:pPr>
              <w:spacing w:before="100" w:after="0"/>
              <w:jc w:val="left"/>
              <w:rPr>
                <w:rFonts w:ascii="TimesNewRoman" w:eastAsia="TimesNewRoman" w:hAnsi="TimesNewRoman" w:cs="TimesNewRoman"/>
                <w:b w:val="0"/>
                <w:i w:val="0"/>
                <w:vanish w:val="0"/>
                <w:color w:val="000000"/>
                <w:sz w:val="24"/>
              </w:rPr>
            </w:pP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 xml:space="preserve">- </w:t>
            </w:r>
            <w:r>
              <w:rPr>
                <w:rStyle w:val="Strong"/>
                <w:rFonts w:ascii="TimesNewRoman" w:eastAsia="TimesNewRoman" w:hAnsi="TimesNewRoman" w:cs="TimesNewRoman"/>
                <w:b w:val="0"/>
                <w:i w:val="0"/>
                <w:vanish w:val="0"/>
                <w:color w:val="000000"/>
                <w:sz w:val="24"/>
              </w:rPr>
              <w:t>Okrepitev operativnega sodelovanja z DČ EU in ZB pri preprečevanju, odkrivanju in preiskovanju hudih in organiziranih oblik kriminalitete</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 xml:space="preserve">V skladu s priporočili EU Strategije za boj proti organiziranemu kriminalu 2021-2025 bodo v sodelovanju z varnostnimi organi DČ EU, tretjimi državami in EUROPOLom načrtovane in izvedene </w:t>
            </w:r>
            <w:r>
              <w:rPr>
                <w:rStyle w:val="Strong"/>
                <w:rFonts w:ascii="TimesNewRoman" w:eastAsia="TimesNewRoman" w:hAnsi="TimesNewRoman" w:cs="TimesNewRoman"/>
                <w:b w:val="0"/>
                <w:i w:val="0"/>
                <w:vanish w:val="0"/>
                <w:color w:val="000000"/>
                <w:sz w:val="24"/>
              </w:rPr>
              <w:t>čezmejne operacije za odkrivanje in preprečevanje delovanja kriminalnih združb</w:t>
            </w:r>
            <w:r>
              <w:rPr>
                <w:rFonts w:ascii="TimesNewRoman" w:eastAsia="TimesNewRoman" w:hAnsi="TimesNewRoman" w:cs="TimesNewRoman"/>
                <w:b w:val="0"/>
                <w:i w:val="0"/>
                <w:vanish w:val="0"/>
                <w:color w:val="000000"/>
                <w:sz w:val="24"/>
              </w:rPr>
              <w:t>, ki se ukvarjajo s prepovedanimi drogami, tihotapstvom in trgovino z ljudmi in orožjem, premoženjskimi KD, goljufijami z udeležbo neplačujočih gospodarskih subjektov, davčnimi utajami pri trošarinah, ponaredki, pranjem denarja in kibernetsko kriminaliteto. Čezmejno operativno sodelovanje bo izvedeno v obliki skupnih čezmejnih operacij, vključno s skupnimi preiskovalnimi skupinami (JIT).</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Glavni izzivi so odkrivanje, preprečevanje in boj proti nezakonitemu delovanju hudodelskih združb v okviru mednarodnega policijskega sodelovanja. Ti izzivi bodo obravnavani z ustreznimi operativnimi dejavnostmi, financirani s podporo SNV.</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Pričakovani rezultati:</w:t>
            </w:r>
            <w:r>
              <w:rPr>
                <w:rStyle w:val="Strong"/>
                <w:rFonts w:ascii="TimesNewRoman" w:eastAsia="TimesNewRoman" w:hAnsi="TimesNewRoman" w:cs="TimesNewRoman"/>
                <w:b w:val="0"/>
                <w:i w:val="0"/>
                <w:vanish w:val="0"/>
                <w:color w:val="000000"/>
                <w:sz w:val="24"/>
              </w:rPr>
              <w:t xml:space="preserve"> </w:t>
            </w:r>
            <w:r>
              <w:rPr>
                <w:rFonts w:ascii="TimesNewRoman" w:eastAsia="TimesNewRoman" w:hAnsi="TimesNewRoman" w:cs="TimesNewRoman"/>
                <w:b w:val="0"/>
                <w:i w:val="0"/>
                <w:vanish w:val="0"/>
                <w:color w:val="000000"/>
                <w:sz w:val="24"/>
              </w:rPr>
              <w:t xml:space="preserve">okrepljeno operativno sodelovanje z EUROPOL, DČ EU in ZB pri preprečevanju, odkrivanju in preiskovanju hudih in organiziranih oblik kriminalitete in povečano </w:t>
            </w:r>
            <w:r>
              <w:rPr>
                <w:rStyle w:val="Strong"/>
                <w:rFonts w:ascii="TimesNewRoman" w:eastAsia="TimesNewRoman" w:hAnsi="TimesNewRoman" w:cs="TimesNewRoman"/>
                <w:b w:val="0"/>
                <w:i w:val="0"/>
                <w:vanish w:val="0"/>
                <w:color w:val="000000"/>
                <w:sz w:val="24"/>
              </w:rPr>
              <w:t>število skupnih čezmejnih operacij in JIT-ov glede na 2018-2020.</w:t>
            </w:r>
          </w:p>
          <w:p w:rsidR="00A77B3E">
            <w:pPr>
              <w:spacing w:before="100" w:after="0"/>
              <w:jc w:val="left"/>
              <w:rPr>
                <w:rFonts w:ascii="TimesNewRoman" w:eastAsia="TimesNewRoman" w:hAnsi="TimesNewRoman" w:cs="TimesNewRoman"/>
                <w:b w:val="0"/>
                <w:i w:val="0"/>
                <w:vanish w:val="0"/>
                <w:color w:val="000000"/>
                <w:sz w:val="24"/>
              </w:rPr>
            </w:pP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 xml:space="preserve">- </w:t>
            </w:r>
            <w:r>
              <w:rPr>
                <w:rStyle w:val="Strong"/>
                <w:rFonts w:ascii="TimesNewRoman" w:eastAsia="TimesNewRoman" w:hAnsi="TimesNewRoman" w:cs="TimesNewRoman"/>
                <w:b w:val="0"/>
                <w:i w:val="0"/>
                <w:vanish w:val="0"/>
                <w:color w:val="000000"/>
                <w:sz w:val="24"/>
              </w:rPr>
              <w:t>Učinkovito izvajanje prikritih preiskovalnih ukrepov za preiskovanje hudih in organiziranih oblik čezmejne kriminalitete</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 xml:space="preserve">S spremembami Zakona o sodelovanju v kazenskih zadevah z DČ EU se je povečalo število preiskovalnih dejanj na podlagi evropskih preiskovalnih nalogov. Predvidevamo, da se bo trend izvajanj tajnih opazovanj na podlagi zaprosil oz. evropskih preiskovalnih nalogov še povečeval. Iz vidika delovanja mednarodnih kriminalnih združb, predvsem tistih vzdolž balkanske poti, SI ostaja tranzitno-logistična država za tihotapstvo prepovedanih drog, orožja in ljudi v države EU. Okrepljene bodo operativne zmogljivosti za izvajanje </w:t>
            </w:r>
            <w:r>
              <w:rPr>
                <w:rStyle w:val="Strong"/>
                <w:rFonts w:ascii="TimesNewRoman" w:eastAsia="TimesNewRoman" w:hAnsi="TimesNewRoman" w:cs="TimesNewRoman"/>
                <w:b w:val="0"/>
                <w:i w:val="0"/>
                <w:vanish w:val="0"/>
                <w:color w:val="000000"/>
                <w:sz w:val="24"/>
              </w:rPr>
              <w:t>kriminalističnoobveščevalne dejavnosti in prikritih preiskovalnih ukrepov</w:t>
            </w:r>
            <w:r>
              <w:rPr>
                <w:rFonts w:ascii="TimesNewRoman" w:eastAsia="TimesNewRoman" w:hAnsi="TimesNewRoman" w:cs="TimesNewRoman"/>
                <w:b w:val="0"/>
                <w:i w:val="0"/>
                <w:vanish w:val="0"/>
                <w:color w:val="000000"/>
                <w:sz w:val="24"/>
              </w:rPr>
              <w:t xml:space="preserve"> ter uveljavljene nove metode, taktike in tehnike za učinkovitejše preprečevanje, odkrivanje in preiskovanje vseh oblik hudega in organiziranega kriminala, kar bo prispevalo k odkrivanju in preiskovanju kriminalnih združb, ki predstavljajo varnostno grožnjo za EU.</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Glavni izzivi: krepitev operativnih zmogljivosti policijskih enot za učinkovito izvajanje prikritih preiskovalnih ukrepov, z izvajanjem katerih bo SI pomembno prispevala k večjemu številu skupnih čezmejnih operacij in skupnih preiskovalnih skupin (JIT).</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Sredstva SNV bodo uporabljena za podporo izvajanju prikritih preiskovalnih ukrepov (tajno opazovanje, tajno delovanje [</w:t>
            </w:r>
            <w:r>
              <w:rPr>
                <w:rStyle w:val="Emphasis"/>
                <w:rFonts w:ascii="TimesNewRoman" w:eastAsia="TimesNewRoman" w:hAnsi="TimesNewRoman" w:cs="TimesNewRoman"/>
                <w:b w:val="0"/>
                <w:i w:val="0"/>
                <w:vanish w:val="0"/>
                <w:color w:val="000000"/>
                <w:sz w:val="24"/>
              </w:rPr>
              <w:t>undercover operation</w:t>
            </w:r>
            <w:r>
              <w:rPr>
                <w:rFonts w:ascii="TimesNewRoman" w:eastAsia="TimesNewRoman" w:hAnsi="TimesNewRoman" w:cs="TimesNewRoman"/>
                <w:b w:val="0"/>
                <w:i w:val="0"/>
                <w:vanish w:val="0"/>
                <w:color w:val="000000"/>
                <w:sz w:val="24"/>
              </w:rPr>
              <w:t>], navideznega odkupa predmetov [</w:t>
            </w:r>
            <w:r>
              <w:rPr>
                <w:rStyle w:val="Emphasis"/>
                <w:rFonts w:ascii="TimesNewRoman" w:eastAsia="TimesNewRoman" w:hAnsi="TimesNewRoman" w:cs="TimesNewRoman"/>
                <w:b w:val="0"/>
                <w:i w:val="0"/>
                <w:vanish w:val="0"/>
                <w:color w:val="000000"/>
                <w:sz w:val="24"/>
              </w:rPr>
              <w:t>pseudo purchase</w:t>
            </w:r>
            <w:r>
              <w:rPr>
                <w:rFonts w:ascii="TimesNewRoman" w:eastAsia="TimesNewRoman" w:hAnsi="TimesNewRoman" w:cs="TimesNewRoman"/>
                <w:b w:val="0"/>
                <w:i w:val="0"/>
                <w:vanish w:val="0"/>
                <w:color w:val="000000"/>
                <w:sz w:val="24"/>
              </w:rPr>
              <w:t>], nadzorovane pošiljke in nakup vozil za čezmejno prikrito opazovanje, kar bo pomembno prispevalo k povečanju števila skupnih čezmejnih operacij in JIT.</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Finančna podpora izvajanju prikritih preiskovalnih ukrepov (vključno z nakupom specialnih vozil za izvajanje teh ukrepov), ki so namenjeni odkrivanju in preiskovanju organiziranih oblik čezmejnega kriminala, tesno povezanega z ZB, pomeni uresničevanje prednostnih nalog EU v boju proti hudem in organiziranem kriminalu za EMPACT v obdobju 2022-2025 (9184/21), ki ga je Svet odobril na svoji 3796. seji 26. maja 2021. Vozila se bodo uporabljala za izvajanje tajnega opazovanja, tajnega delovanja, navideznih odkupov in nadzorovanih pošiljk.</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Pričakovani rezultati: izboljšane kapacitete na področju izvajanja prikritih preiskovalnih ukrepov za preiskovanje hudih in organiziranih oblik čezmejne kriminalitete ter večje količine prepovedanih drog in orožja, zaseženih v čezmejnih operacijah glede na 2014-2020.</w:t>
            </w:r>
          </w:p>
          <w:p w:rsidR="00A77B3E">
            <w:pPr>
              <w:spacing w:before="100" w:after="0"/>
              <w:jc w:val="left"/>
              <w:rPr>
                <w:rFonts w:ascii="TimesNewRoman" w:eastAsia="TimesNewRoman" w:hAnsi="TimesNewRoman" w:cs="TimesNewRoman"/>
                <w:b w:val="0"/>
                <w:i w:val="0"/>
                <w:vanish w:val="0"/>
                <w:color w:val="000000"/>
                <w:sz w:val="24"/>
              </w:rPr>
            </w:pPr>
          </w:p>
          <w:p w:rsidR="00A77B3E">
            <w:pPr>
              <w:spacing w:before="100" w:after="0"/>
              <w:jc w:val="left"/>
              <w:rPr>
                <w:rFonts w:ascii="TimesNewRoman" w:eastAsia="TimesNewRoman" w:hAnsi="TimesNewRoman" w:cs="TimesNewRoman"/>
                <w:b w:val="0"/>
                <w:i w:val="0"/>
                <w:vanish w:val="0"/>
                <w:color w:val="000000"/>
                <w:sz w:val="24"/>
              </w:rPr>
            </w:pPr>
            <w:r>
              <w:rPr>
                <w:rStyle w:val="Strong"/>
                <w:rFonts w:ascii="TimesNewRoman" w:eastAsia="TimesNewRoman" w:hAnsi="TimesNewRoman" w:cs="TimesNewRoman"/>
                <w:b w:val="0"/>
                <w:i w:val="0"/>
                <w:vanish w:val="0"/>
                <w:color w:val="000000"/>
                <w:sz w:val="24"/>
              </w:rPr>
              <w:t xml:space="preserve">2) </w:t>
            </w:r>
            <w:r>
              <w:rPr>
                <w:rStyle w:val="Strong"/>
                <w:rFonts w:ascii="TimesNewRoman" w:eastAsia="TimesNewRoman" w:hAnsi="TimesNewRoman" w:cs="TimesNewRoman"/>
                <w:b w:val="0"/>
                <w:i w:val="0"/>
                <w:vanish w:val="0"/>
                <w:color w:val="000000"/>
                <w:sz w:val="24"/>
                <w:u w:val="single"/>
              </w:rPr>
              <w:t>Izvedbeni ukrep 2b): Izboljšati usklajevanje in okrepiti sodelovanje pristojnih organov v državah članicah in med njimi ter z drugimi zadevnimi akterji</w:t>
            </w:r>
          </w:p>
          <w:p w:rsidR="00A77B3E">
            <w:pPr>
              <w:spacing w:before="100" w:after="0"/>
              <w:jc w:val="left"/>
              <w:rPr>
                <w:rFonts w:ascii="TimesNewRoman" w:eastAsia="TimesNewRoman" w:hAnsi="TimesNewRoman" w:cs="TimesNewRoman"/>
                <w:b w:val="0"/>
                <w:i w:val="0"/>
                <w:vanish w:val="0"/>
                <w:color w:val="000000"/>
                <w:sz w:val="24"/>
              </w:rPr>
            </w:pPr>
          </w:p>
          <w:p w:rsidR="00A77B3E">
            <w:pPr>
              <w:spacing w:before="100" w:after="0"/>
              <w:jc w:val="left"/>
              <w:rPr>
                <w:rFonts w:ascii="TimesNewRoman" w:eastAsia="TimesNewRoman" w:hAnsi="TimesNewRoman" w:cs="TimesNewRoman"/>
                <w:b w:val="0"/>
                <w:i w:val="0"/>
                <w:vanish w:val="0"/>
                <w:color w:val="000000"/>
                <w:sz w:val="24"/>
              </w:rPr>
            </w:pPr>
            <w:r>
              <w:rPr>
                <w:rStyle w:val="Strong"/>
                <w:rFonts w:ascii="TimesNewRoman" w:eastAsia="TimesNewRoman" w:hAnsi="TimesNewRoman" w:cs="TimesNewRoman"/>
                <w:b w:val="0"/>
                <w:i w:val="0"/>
                <w:vanish w:val="0"/>
                <w:color w:val="000000"/>
                <w:sz w:val="24"/>
              </w:rPr>
              <w:t>- Sodelovanje v različnih evropskih mrežah, specializiranih mrežah in strukturah sodelovanja EU ter centrov EU</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Na ravni EU so oblikovane številne mreže strokovnjakov (npr. PENP-MP, idr), institucij (npr. ENFSI, idr.) ali nacionalnih enot (npr. ATLAS), v katerih je sodelovanje SI strokovnjakov nujno za strokovno sodelovanje, operativno sodelovanje, izmenjavo znanj in dobrih praks ter izkušenj. V okviru te prioritete so predvidena sredstva za udeležbo, organizacijo sestankov, strokovnih srečanj in konferenc.</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Pričakovani rezultat: strokovno sodelovanje, operativno sodelovanje, izmenjava znanj in dobrih praks ter izkušenj v okviru evropski mrež.</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 xml:space="preserve">- </w:t>
            </w:r>
            <w:r>
              <w:rPr>
                <w:rStyle w:val="Strong"/>
                <w:rFonts w:ascii="TimesNewRoman" w:eastAsia="TimesNewRoman" w:hAnsi="TimesNewRoman" w:cs="TimesNewRoman"/>
                <w:b w:val="0"/>
                <w:i w:val="0"/>
                <w:vanish w:val="0"/>
                <w:color w:val="000000"/>
                <w:sz w:val="24"/>
              </w:rPr>
              <w:t>Kadrovska in tehnična podpora enotni vstopni točki (SPOC)</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Za izboljšano delovanje SPOC bomo izvedli kadrovsko in tehnično okrepitev.</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Kadrovska okrepitev se nanaša na projektno zaposlitev v SPOC (enotna kontaktna točka). Z navedenim bi se okrepil trenutno podhranjeni Oddelek za mednarodno operativo. S tem bomo omogočili hitrejšo in kvalitetnejšo izmenjavo informacij s tujimi partnerji in okrepili čezmejno sodelovanje. Prav tako bo oseba izvajala naloge na področju čezmejnih operativnih policijskih ukrepov kot sta čezmejno zasledovanje in opazovanje (40. in 41. člen Schengenske konvencije) s sosednjimi državami. Skrbela bo tudi za usposabljanje končnih uporabnikov po področju bilateralnega operativnega mednarodnega policijskega sodelovanja (skupne vaje ipd.). Kadrovska okrepitev je skladna tudi s priporočili Schengenske evalvacije.</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Tehnična podpora za SPOC enoto (enotna kontaktna točka) bo zagotovljena s pridobitvijo varnega certificiranega prevajalnika za hitro in kvalitetno izmenjavo informacij s tujimi partnerji.</w:t>
            </w:r>
          </w:p>
          <w:p w:rsidR="00A77B3E">
            <w:pPr>
              <w:spacing w:before="100" w:after="0"/>
              <w:jc w:val="left"/>
              <w:rPr>
                <w:rFonts w:ascii="TimesNewRoman" w:eastAsia="TimesNewRoman" w:hAnsi="TimesNewRoman" w:cs="TimesNewRoman"/>
                <w:b w:val="0"/>
                <w:i w:val="0"/>
                <w:vanish w:val="0"/>
                <w:color w:val="000000"/>
                <w:sz w:val="24"/>
              </w:rPr>
            </w:pPr>
          </w:p>
          <w:p w:rsidR="00A77B3E">
            <w:pPr>
              <w:spacing w:before="100" w:after="0"/>
              <w:jc w:val="left"/>
              <w:rPr>
                <w:rFonts w:ascii="TimesNewRoman" w:eastAsia="TimesNewRoman" w:hAnsi="TimesNewRoman" w:cs="TimesNewRoman"/>
                <w:b w:val="0"/>
                <w:i w:val="0"/>
                <w:vanish w:val="0"/>
                <w:color w:val="000000"/>
                <w:sz w:val="24"/>
              </w:rPr>
            </w:pPr>
            <w:r>
              <w:rPr>
                <w:rStyle w:val="Strong"/>
                <w:rFonts w:ascii="TimesNewRoman" w:eastAsia="TimesNewRoman" w:hAnsi="TimesNewRoman" w:cs="TimesNewRoman"/>
                <w:b w:val="0"/>
                <w:i w:val="0"/>
                <w:vanish w:val="0"/>
                <w:color w:val="000000"/>
                <w:sz w:val="24"/>
              </w:rPr>
              <w:t xml:space="preserve">3) </w:t>
            </w:r>
            <w:r>
              <w:rPr>
                <w:rStyle w:val="Strong"/>
                <w:rFonts w:ascii="TimesNewRoman" w:eastAsia="TimesNewRoman" w:hAnsi="TimesNewRoman" w:cs="TimesNewRoman"/>
                <w:b w:val="0"/>
                <w:i w:val="0"/>
                <w:vanish w:val="0"/>
                <w:color w:val="000000"/>
                <w:sz w:val="24"/>
                <w:u w:val="single"/>
              </w:rPr>
              <w:t>Izvedbeni ukrep 2c): Okrepljeno medagencijsko sodelovanje</w:t>
            </w:r>
          </w:p>
          <w:p w:rsidR="00A77B3E">
            <w:pPr>
              <w:spacing w:before="100" w:after="0"/>
              <w:jc w:val="left"/>
              <w:rPr>
                <w:rFonts w:ascii="TimesNewRoman" w:eastAsia="TimesNewRoman" w:hAnsi="TimesNewRoman" w:cs="TimesNewRoman"/>
                <w:b w:val="0"/>
                <w:i w:val="0"/>
                <w:vanish w:val="0"/>
                <w:color w:val="000000"/>
                <w:sz w:val="24"/>
              </w:rPr>
            </w:pPr>
          </w:p>
          <w:p w:rsidR="00A77B3E">
            <w:pPr>
              <w:spacing w:before="100" w:after="0"/>
              <w:jc w:val="left"/>
              <w:rPr>
                <w:rFonts w:ascii="TimesNewRoman" w:eastAsia="TimesNewRoman" w:hAnsi="TimesNewRoman" w:cs="TimesNewRoman"/>
                <w:b w:val="0"/>
                <w:i w:val="0"/>
                <w:vanish w:val="0"/>
                <w:color w:val="000000"/>
                <w:sz w:val="24"/>
              </w:rPr>
            </w:pPr>
            <w:r>
              <w:rPr>
                <w:rStyle w:val="Strong"/>
                <w:rFonts w:ascii="TimesNewRoman" w:eastAsia="TimesNewRoman" w:hAnsi="TimesNewRoman" w:cs="TimesNewRoman"/>
                <w:b w:val="0"/>
                <w:i w:val="0"/>
                <w:vanish w:val="0"/>
                <w:color w:val="000000"/>
                <w:sz w:val="24"/>
              </w:rPr>
              <w:t>- Okrepitev kapacitet in izboljšanje usposobljenosti specializiranih služb na področju terorističnih groženj s komponento CBRN</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 xml:space="preserve">Zavedanje, da organizirani kriminal in terorizem poleg klasičnih sredstev lahko vključujeta </w:t>
            </w:r>
            <w:r>
              <w:rPr>
                <w:rStyle w:val="Strong"/>
                <w:rFonts w:ascii="TimesNewRoman" w:eastAsia="TimesNewRoman" w:hAnsi="TimesNewRoman" w:cs="TimesNewRoman"/>
                <w:b w:val="0"/>
                <w:i w:val="0"/>
                <w:vanish w:val="0"/>
                <w:color w:val="000000"/>
                <w:sz w:val="24"/>
              </w:rPr>
              <w:t>tudi sredstva za množično uničevanje</w:t>
            </w:r>
            <w:r>
              <w:rPr>
                <w:rFonts w:ascii="TimesNewRoman" w:eastAsia="TimesNewRoman" w:hAnsi="TimesNewRoman" w:cs="TimesNewRoman"/>
                <w:b w:val="0"/>
                <w:i w:val="0"/>
                <w:vanish w:val="0"/>
                <w:color w:val="000000"/>
                <w:sz w:val="24"/>
              </w:rPr>
              <w:t xml:space="preserve"> je eden glavnih izzivov, ki ogrožajo EU, zato postaja odzivna zmogljivost DČ še pomembnejša. Nezakonito delovanje s kemičnimi in biološkimi sredstvi ter radioaktivnimi snovmi predstavlja nov izziv za policijo SI (v smislu opreme in strokovnega znanja). Mreža EEODN je s podporo EUROPOL dvignila stopnjo zavedanja o nevarnosti teh aktivnosti. Za hitro odzivanje je potrebno medresorsko sodelovanje, ustrezna ozaveščenost policistov in ostalih prvih posredovalcev na lokalnem nivoju (Služba za zaščito in reševanje, oborožene sile SI, Finančna uprava in drugi tuji organi). Na primer, Oddelek za protibombno zaščito je na področju dekontaminacije povsem odvisen od služb zaščite in reševanja. Pri izvajanju najbolj zahtevnih nalog policije pod in nad vodo, se pojavljajo težave z zastarelo opremo potapljačev, ki ne omogoča dolgega zadrževanja pod vodo in neopaznega približevanja kritičnim mestom. Zaradi specifične opreme in področij delovanja bo za kompleksne naloge vedno potrebna medagencijska organizacija.</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Glavni izzivi in aktivnosti s podporo sklada: dvig stopnje zavedanja policistov o nevarnostih, ki jih predstavljajo RKB snovi, izboljšanje stanja na področju osebne zaščitne opreme ter vzpostavitev lastnih zmogljivosti za dekontaminacijo prvih posredovalcev, nabava sodobnejše potapljaške opreme, izboljšanje strokovne usposobljenosti in izmenjava dobrih praks z medresorskim sodelovanjem v zvezi s terorističnimi napadi ter ustvarjanje okolja za učinkovito medresorsko sodelovanje pri preprečevanju napadov in prijetju najbolj nevarnih organiziranih kriminalnih združb.</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Pričakovani rezultati: izboljšana pripravljenost policije na odziv v primeru tovrstnih groženj ter podpora prizadevanjem za krepitev zmogljivosti v zvezi z bojem proti kriminalu, vključno s terorizmom in preprečevanjem kriminala. Izboljšana pripravljenost na medagencijsko in nadnacionalno sodelovanje, kar prispeva k izboljšani učinkovitosti in uspešnosti.</w:t>
            </w:r>
          </w:p>
          <w:p w:rsidR="00A77B3E">
            <w:pPr>
              <w:spacing w:before="100" w:after="0"/>
              <w:jc w:val="left"/>
              <w:rPr>
                <w:rFonts w:ascii="TimesNewRoman" w:eastAsia="TimesNewRoman" w:hAnsi="TimesNewRoman" w:cs="TimesNewRoman"/>
                <w:b w:val="0"/>
                <w:i w:val="0"/>
                <w:vanish w:val="0"/>
                <w:color w:val="000000"/>
                <w:sz w:val="24"/>
              </w:rPr>
            </w:pPr>
          </w:p>
          <w:p w:rsidR="00A77B3E">
            <w:pPr>
              <w:spacing w:before="100" w:after="0"/>
              <w:jc w:val="left"/>
              <w:rPr>
                <w:rFonts w:ascii="TimesNewRoman" w:eastAsia="TimesNewRoman" w:hAnsi="TimesNewRoman" w:cs="TimesNewRoman"/>
                <w:b w:val="0"/>
                <w:i w:val="0"/>
                <w:vanish w:val="0"/>
                <w:color w:val="000000"/>
                <w:sz w:val="24"/>
              </w:rPr>
            </w:pPr>
            <w:r>
              <w:rPr>
                <w:rStyle w:val="Strong"/>
                <w:rFonts w:ascii="TimesNewRoman" w:eastAsia="TimesNewRoman" w:hAnsi="TimesNewRoman" w:cs="TimesNewRoman"/>
                <w:b w:val="0"/>
                <w:i w:val="0"/>
                <w:vanish w:val="0"/>
                <w:color w:val="000000"/>
                <w:sz w:val="24"/>
              </w:rPr>
              <w:t>- Posodobitev in širitev centrov za mednarodno policijsko sodelovanje</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Policija je v okviru prejšnje finančne sheme sodelovala pri vzpostavitvi in vzdrževanju dveh policijskih centrov Vrata - Megvarje (SI-AT-IT) in Dolga vas (SI-AT-HU-HR), kjer vsaka DČ skrbi za svoj del vezano na delovanje in vzdrževanje opreme. Cilj je krepitev čezmejnega sodelovanja in izmenjava informacij na področju policijskega dela, usklajevanje skupnih nalog kontrole in nadzora ter drugih operacij na skupni državni meji, prevzem oseb, ki se ilegalno zadržujejo na ozemlju držav pogodbenic, in izmenjava informacij glede zatiranja kriminalitete.</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V okviru posodobitev se predvideva upoštevanje CROLEC (Council Conclusions on Law Enforcement Cooperation), kar vključuje razvoj trenutno manjkajočih analitičnih zmogljivosti teh centrov, s čimer se bo okrepila njihova vloga pri strateškem in operativnem načrtovanju policijskega sodelovanja.</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Pričakovani rezultat: nabava IKT in funkcionalne opreme, posodobitev in širitev centrov, razvoj analitičnih zmogljivosti skladno s CROLEC, izvedba jezikovnih in drugih usposabljanj, študijski obiski in strokovna srečanja z namenom izmenjave dobrih praks.</w:t>
            </w:r>
          </w:p>
          <w:p w:rsidR="00A77B3E">
            <w:pPr>
              <w:spacing w:before="100" w:after="0"/>
              <w:jc w:val="left"/>
              <w:rPr>
                <w:rFonts w:ascii="TimesNewRoman" w:eastAsia="TimesNewRoman" w:hAnsi="TimesNewRoman" w:cs="TimesNewRoman"/>
                <w:b w:val="0"/>
                <w:i w:val="0"/>
                <w:vanish w:val="0"/>
                <w:color w:val="000000"/>
                <w:sz w:val="6"/>
              </w:rPr>
            </w:pPr>
          </w:p>
          <w:p w:rsidR="00A77B3E">
            <w:pPr>
              <w:spacing w:before="100" w:after="0"/>
              <w:jc w:val="left"/>
              <w:rPr>
                <w:rFonts w:ascii="TimesNewRoman" w:eastAsia="TimesNewRoman" w:hAnsi="TimesNewRoman" w:cs="TimesNewRoman"/>
                <w:b w:val="0"/>
                <w:i w:val="0"/>
                <w:vanish w:val="0"/>
                <w:color w:val="000000"/>
                <w:sz w:val="6"/>
              </w:rPr>
            </w:pPr>
          </w:p>
        </w:tc>
      </w:tr>
    </w:tbl>
    <w:p w:rsidR="00A77B3E">
      <w:pPr>
        <w:spacing w:before="100" w:after="0"/>
        <w:jc w:val="left"/>
        <w:rPr>
          <w:rFonts w:ascii="TimesNewRoman" w:eastAsia="TimesNewRoman" w:hAnsi="TimesNewRoman" w:cs="TimesNewRoman"/>
          <w:b w:val="0"/>
          <w:i w:val="0"/>
          <w:vanish w:val="0"/>
          <w:color w:val="000000"/>
          <w:sz w:val="2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orient="portrait"/>
          <w:pgMar w:top="720" w:right="936" w:bottom="864" w:left="720" w:header="0" w:footer="72" w:gutter="0"/>
          <w:cols w:space="708"/>
          <w:noEndnote/>
          <w:docGrid w:linePitch="360"/>
        </w:sectPr>
      </w:pPr>
    </w:p>
    <w:p w:rsidR="00A77B3E">
      <w:pPr>
        <w:spacing w:before="100" w:after="0"/>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2.1. Specifični cilj 2. Čezmejno sodelovanje</w:t>
      </w:r>
    </w:p>
    <w:p w:rsidR="00A77B3E">
      <w:pPr>
        <w:pStyle w:val="Heading3"/>
        <w:spacing w:before="100" w:after="0"/>
        <w:jc w:val="left"/>
        <w:rPr>
          <w:rFonts w:ascii="Times New Roman" w:eastAsia="Times New Roman" w:hAnsi="Times New Roman" w:cs="Times New Roman"/>
          <w:b w:val="0"/>
          <w:i w:val="0"/>
          <w:vanish w:val="0"/>
          <w:color w:val="000000"/>
          <w:sz w:val="24"/>
        </w:rPr>
      </w:pPr>
      <w:bookmarkStart w:id="11" w:name="_Toc256000066"/>
      <w:r>
        <w:rPr>
          <w:rFonts w:ascii="Times New Roman" w:eastAsia="Times New Roman" w:hAnsi="Times New Roman" w:cs="Times New Roman"/>
          <w:b w:val="0"/>
          <w:i w:val="0"/>
          <w:vanish w:val="0"/>
          <w:color w:val="000000"/>
          <w:sz w:val="24"/>
        </w:rPr>
        <w:t>2.1.2. Kazalniki</w:t>
      </w:r>
      <w:bookmarkEnd w:id="11"/>
    </w:p>
    <w:p w:rsidR="00A77B3E">
      <w:pPr>
        <w:spacing w:before="100" w:after="0"/>
        <w:jc w:val="left"/>
        <w:rPr>
          <w:rFonts w:ascii="Times New Roman" w:eastAsia="Times New Roman" w:hAnsi="Times New Roman" w:cs="Times New Roman"/>
          <w:b w:val="0"/>
          <w:i w:val="0"/>
          <w:vanish w:val="0"/>
          <w:color w:val="000000"/>
          <w:sz w:val="12"/>
        </w:rPr>
      </w:pPr>
      <w:r>
        <w:rPr>
          <w:rFonts w:ascii="Times New Roman" w:eastAsia="Times New Roman" w:hAnsi="Times New Roman" w:cs="Times New Roman"/>
          <w:b w:val="0"/>
          <w:i w:val="0"/>
          <w:vanish w:val="0"/>
          <w:color w:val="000000"/>
          <w:sz w:val="24"/>
        </w:rPr>
        <w:t>Sklic: člen 22(4)(e) uredbe o skupnih določbah</w:t>
      </w:r>
    </w:p>
    <w:p w:rsidR="00A77B3E">
      <w:pPr>
        <w:pStyle w:val="Heading4"/>
        <w:spacing w:before="100" w:after="0"/>
        <w:jc w:val="left"/>
        <w:rPr>
          <w:rFonts w:ascii="Times New Roman" w:eastAsia="Times New Roman" w:hAnsi="Times New Roman" w:cs="Times New Roman"/>
          <w:b w:val="0"/>
          <w:i w:val="0"/>
          <w:vanish w:val="0"/>
          <w:color w:val="000000"/>
          <w:sz w:val="24"/>
        </w:rPr>
      </w:pPr>
      <w:bookmarkStart w:id="12" w:name="_Toc256000067"/>
      <w:r>
        <w:rPr>
          <w:rFonts w:ascii="Times New Roman" w:eastAsia="Times New Roman" w:hAnsi="Times New Roman" w:cs="Times New Roman"/>
          <w:b w:val="0"/>
          <w:i w:val="0"/>
          <w:vanish w:val="0"/>
          <w:color w:val="000000"/>
          <w:sz w:val="24"/>
        </w:rPr>
        <w:t>Tabela 1: Kazalniki učinka</w:t>
      </w:r>
      <w:bookmarkEnd w:id="12"/>
    </w:p>
    <w:p w:rsidR="00A77B3E">
      <w:pPr>
        <w:spacing w:before="100" w:after="0"/>
        <w:jc w:val="left"/>
        <w:rPr>
          <w:rFonts w:ascii="Times New Roman" w:eastAsia="Times New Roman" w:hAnsi="Times New Roman" w:cs="Times New Roman"/>
          <w:b w:val="0"/>
          <w:i w:val="0"/>
          <w:vanish w:val="0"/>
          <w:color w:val="000000"/>
          <w:sz w:val="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1699"/>
        <w:gridCol w:w="8309"/>
        <w:gridCol w:w="1826"/>
        <w:gridCol w:w="1944"/>
        <w:gridCol w:w="1524"/>
      </w:tblGrid>
      <w:tr>
        <w:tblPrEx>
          <w:tblW w:w="5000" w:type="pct"/>
        </w:tblPrEx>
        <w:trPr>
          <w:cantSplit w:val="0"/>
          <w:trHeight w:hRule="auto" w:val="0"/>
          <w:tblHeader/>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Identifikator</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Kazalnik</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Merska enota</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Mejnik (2024)</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Cilj (2029)</w:t>
            </w:r>
          </w:p>
        </w:tc>
      </w:tr>
      <w:tr>
        <w:tblPrEx>
          <w:tblW w:w="5000" w:type="pct"/>
        </w:tblPrEx>
        <w:trPr>
          <w:cantSplit w:val="0"/>
          <w:trHeight w:hRule="auto" w:val="0"/>
          <w:tblHeader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O.2.1</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Število čezmejnih operacij</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število</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60</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320</w:t>
            </w:r>
          </w:p>
        </w:tc>
      </w:tr>
      <w:tr>
        <w:tblPrEx>
          <w:tblW w:w="5000" w:type="pct"/>
        </w:tblPrEx>
        <w:trPr>
          <w:cantSplit w:val="0"/>
          <w:trHeight w:hRule="auto" w:val="0"/>
          <w:tblHeader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O.2.1.1</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Od tega število skupnih preiskovalnih skupin</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število</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5</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20</w:t>
            </w:r>
          </w:p>
        </w:tc>
      </w:tr>
      <w:tr>
        <w:tblPrEx>
          <w:tblW w:w="5000" w:type="pct"/>
        </w:tblPrEx>
        <w:trPr>
          <w:cantSplit w:val="0"/>
          <w:trHeight w:hRule="auto" w:val="0"/>
          <w:tblHeader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O.2.1.2</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Od tega število operativnih ukrepov iz cikla politike EU/EMPACT</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število</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3</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6</w:t>
            </w:r>
          </w:p>
        </w:tc>
      </w:tr>
      <w:tr>
        <w:tblPrEx>
          <w:tblW w:w="5000" w:type="pct"/>
        </w:tblPrEx>
        <w:trPr>
          <w:cantSplit w:val="0"/>
          <w:trHeight w:hRule="auto" w:val="0"/>
          <w:tblHeader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O.2.2</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Število strokovnih srečanj/delavnic/študijskih obiskov/skupnih vaj</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število</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43</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127</w:t>
            </w:r>
          </w:p>
        </w:tc>
      </w:tr>
      <w:tr>
        <w:tblPrEx>
          <w:tblW w:w="5000" w:type="pct"/>
        </w:tblPrEx>
        <w:trPr>
          <w:cantSplit w:val="0"/>
          <w:trHeight w:hRule="auto" w:val="0"/>
          <w:tblHeader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O.2.3</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Število kupljenih kosov opreme</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število</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18</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53</w:t>
            </w:r>
          </w:p>
        </w:tc>
      </w:tr>
      <w:tr>
        <w:tblPrEx>
          <w:tblW w:w="5000" w:type="pct"/>
        </w:tblPrEx>
        <w:trPr>
          <w:cantSplit w:val="0"/>
          <w:trHeight w:hRule="auto" w:val="0"/>
          <w:tblHeader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O.2.4</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Število prevoznih sredstev, kupljenih za čezmejne operacije</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število</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26</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61</w:t>
            </w:r>
          </w:p>
        </w:tc>
      </w:tr>
    </w:tbl>
    <w:p w:rsidR="00A77B3E">
      <w:pPr>
        <w:spacing w:before="100" w:after="0"/>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0"/>
        </w:rPr>
        <w:br w:type="page"/>
      </w:r>
      <w:r>
        <w:rPr>
          <w:rFonts w:ascii="Times New Roman" w:eastAsia="Times New Roman" w:hAnsi="Times New Roman" w:cs="Times New Roman"/>
          <w:b w:val="0"/>
          <w:i w:val="0"/>
          <w:vanish w:val="0"/>
          <w:color w:val="000000"/>
          <w:sz w:val="24"/>
        </w:rPr>
        <w:t>2.1. Specifični cilj 2. Čezmejno sodelovanje</w:t>
      </w:r>
    </w:p>
    <w:p w:rsidR="00A77B3E">
      <w:pPr>
        <w:spacing w:before="100" w:after="0"/>
        <w:jc w:val="left"/>
        <w:rPr>
          <w:rFonts w:ascii="Times New Roman" w:eastAsia="Times New Roman" w:hAnsi="Times New Roman" w:cs="Times New Roman"/>
          <w:b w:val="0"/>
          <w:i w:val="0"/>
          <w:vanish w:val="0"/>
          <w:color w:val="000000"/>
          <w:sz w:val="0"/>
        </w:rPr>
      </w:pPr>
      <w:r>
        <w:rPr>
          <w:rFonts w:ascii="Times New Roman" w:eastAsia="Times New Roman" w:hAnsi="Times New Roman" w:cs="Times New Roman"/>
          <w:b w:val="0"/>
          <w:i w:val="0"/>
          <w:vanish w:val="0"/>
          <w:color w:val="000000"/>
          <w:sz w:val="24"/>
        </w:rPr>
        <w:t>2.1.2. Kazalniki</w:t>
      </w:r>
    </w:p>
    <w:p w:rsidR="00A77B3E">
      <w:pPr>
        <w:spacing w:before="100" w:after="0"/>
        <w:jc w:val="left"/>
        <w:rPr>
          <w:rFonts w:ascii="Times New Roman" w:eastAsia="Times New Roman" w:hAnsi="Times New Roman" w:cs="Times New Roman"/>
          <w:b w:val="0"/>
          <w:i w:val="0"/>
          <w:vanish w:val="0"/>
          <w:color w:val="000000"/>
          <w:sz w:val="12"/>
        </w:rPr>
      </w:pPr>
      <w:r>
        <w:rPr>
          <w:rFonts w:ascii="Times New Roman" w:eastAsia="Times New Roman" w:hAnsi="Times New Roman" w:cs="Times New Roman"/>
          <w:b w:val="0"/>
          <w:i w:val="0"/>
          <w:vanish w:val="0"/>
          <w:color w:val="000000"/>
          <w:sz w:val="24"/>
        </w:rPr>
        <w:t>Sklic: člen 22(4)(e) uredbe o skupnih določbah</w:t>
      </w:r>
    </w:p>
    <w:p w:rsidR="00A77B3E">
      <w:pPr>
        <w:pStyle w:val="Heading4"/>
        <w:spacing w:before="100" w:after="0"/>
        <w:jc w:val="left"/>
        <w:rPr>
          <w:rFonts w:ascii="Times New Roman" w:eastAsia="Times New Roman" w:hAnsi="Times New Roman" w:cs="Times New Roman"/>
          <w:b w:val="0"/>
          <w:i w:val="0"/>
          <w:vanish w:val="0"/>
          <w:color w:val="000000"/>
          <w:sz w:val="24"/>
        </w:rPr>
      </w:pPr>
      <w:bookmarkStart w:id="13" w:name="_Toc256000068"/>
      <w:r>
        <w:rPr>
          <w:rFonts w:ascii="Times New Roman" w:eastAsia="Times New Roman" w:hAnsi="Times New Roman" w:cs="Times New Roman"/>
          <w:b w:val="0"/>
          <w:i w:val="0"/>
          <w:vanish w:val="0"/>
          <w:color w:val="000000"/>
          <w:sz w:val="24"/>
        </w:rPr>
        <w:t>Tabela 2: Kazalniki rezultatov</w:t>
      </w:r>
      <w:bookmarkEnd w:id="13"/>
    </w:p>
    <w:p w:rsidR="00A77B3E">
      <w:pPr>
        <w:spacing w:before="100" w:after="0"/>
        <w:jc w:val="left"/>
        <w:rPr>
          <w:rFonts w:ascii="Times New Roman" w:eastAsia="Times New Roman" w:hAnsi="Times New Roman" w:cs="Times New Roman"/>
          <w:b w:val="0"/>
          <w:i w:val="0"/>
          <w:vanish w:val="0"/>
          <w:color w:val="000000"/>
          <w:sz w:val="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Pr>
      <w:tblGrid>
        <w:gridCol w:w="760"/>
        <w:gridCol w:w="2276"/>
        <w:gridCol w:w="1517"/>
        <w:gridCol w:w="1517"/>
        <w:gridCol w:w="1517"/>
        <w:gridCol w:w="1517"/>
        <w:gridCol w:w="1517"/>
        <w:gridCol w:w="1517"/>
        <w:gridCol w:w="1517"/>
        <w:gridCol w:w="1517"/>
      </w:tblGrid>
      <w:tr>
        <w:tblPrEx>
          <w:tblW w:w="5000" w:type="pct"/>
          <w:tblLayout w:type="fixed"/>
        </w:tblPrEx>
        <w:trPr>
          <w:cantSplit w:val="0"/>
          <w:trHeight w:hRule="auto" w:val="0"/>
          <w:tblHeader/>
        </w:trPr>
        <w:tc>
          <w:tcPr>
            <w:tcW w:w="25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Identifikator</w:t>
            </w:r>
          </w:p>
        </w:tc>
        <w:tc>
          <w:tcPr>
            <w:tcW w:w="75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Kazalnik</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Merska enota</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Izhodišče</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Merska enota za izhodišče</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Referenčna leta</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Cilj (2029)</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Merska enota za cilj</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Vir podatkov</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Opombe</w:t>
            </w:r>
          </w:p>
        </w:tc>
      </w:tr>
      <w:tr>
        <w:tblPrEx>
          <w:tblW w:w="5000" w:type="pct"/>
          <w:tblLayout w:type="fixed"/>
        </w:tblPrEx>
        <w:trPr>
          <w:cantSplit w:val="0"/>
          <w:trHeight w:hRule="auto" w:val="0"/>
          <w:tblHeader w:val="0"/>
        </w:trPr>
        <w:tc>
          <w:tcPr>
            <w:tcW w:w="25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R.2.5</w:t>
            </w:r>
          </w:p>
        </w:tc>
        <w:tc>
          <w:tcPr>
            <w:tcW w:w="75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Ocenjena vrednost sredstev, zamrznjenih v čezmejnih operacijah</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znesek</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euro</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2021</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100.000.000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znesek</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FINPR01 - Finančne preiskave – pregled.</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p>
        </w:tc>
      </w:tr>
      <w:tr>
        <w:tblPrEx>
          <w:tblW w:w="5000" w:type="pct"/>
          <w:tblLayout w:type="fixed"/>
        </w:tblPrEx>
        <w:trPr>
          <w:cantSplit w:val="0"/>
          <w:trHeight w:hRule="auto" w:val="0"/>
          <w:tblHeader w:val="0"/>
        </w:trPr>
        <w:tc>
          <w:tcPr>
            <w:tcW w:w="25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R.2.6.1</w:t>
            </w:r>
          </w:p>
        </w:tc>
        <w:tc>
          <w:tcPr>
            <w:tcW w:w="75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Količina prepovedanih drog, zaseženih v čezmejnih operacijah – kanabis</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kg</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kg</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2021</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800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kg</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Letno in polletno poročilo o delu policije</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p>
        </w:tc>
      </w:tr>
      <w:tr>
        <w:tblPrEx>
          <w:tblW w:w="5000" w:type="pct"/>
          <w:tblLayout w:type="fixed"/>
        </w:tblPrEx>
        <w:trPr>
          <w:cantSplit w:val="0"/>
          <w:trHeight w:hRule="auto" w:val="0"/>
          <w:tblHeader w:val="0"/>
        </w:trPr>
        <w:tc>
          <w:tcPr>
            <w:tcW w:w="25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R.2.6.2</w:t>
            </w:r>
          </w:p>
        </w:tc>
        <w:tc>
          <w:tcPr>
            <w:tcW w:w="75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Količina prepovedanih drog, zaseženih v čezmejnih operacijah – opioidi, vključno s heroinom</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kg</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kg</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2021</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2.100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kg</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Letno in polletno poročilo o delu policije</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p>
        </w:tc>
      </w:tr>
      <w:tr>
        <w:tblPrEx>
          <w:tblW w:w="5000" w:type="pct"/>
          <w:tblLayout w:type="fixed"/>
        </w:tblPrEx>
        <w:trPr>
          <w:cantSplit w:val="0"/>
          <w:trHeight w:hRule="auto" w:val="0"/>
          <w:tblHeader w:val="0"/>
        </w:trPr>
        <w:tc>
          <w:tcPr>
            <w:tcW w:w="25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R.2.6.3</w:t>
            </w:r>
          </w:p>
        </w:tc>
        <w:tc>
          <w:tcPr>
            <w:tcW w:w="75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Količina prepovedanih drog, zaseženih v čezmejnih operacijah – kokain</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kg</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kg</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2021</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35</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kg</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Letno in polletno poročilo o delu policije</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p>
        </w:tc>
      </w:tr>
      <w:tr>
        <w:tblPrEx>
          <w:tblW w:w="5000" w:type="pct"/>
          <w:tblLayout w:type="fixed"/>
        </w:tblPrEx>
        <w:trPr>
          <w:cantSplit w:val="0"/>
          <w:trHeight w:hRule="auto" w:val="0"/>
          <w:tblHeader w:val="0"/>
        </w:trPr>
        <w:tc>
          <w:tcPr>
            <w:tcW w:w="25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R.2.6.4</w:t>
            </w:r>
          </w:p>
        </w:tc>
        <w:tc>
          <w:tcPr>
            <w:tcW w:w="75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Količina prepovedanih drog, zaseženih v čezmejnih operacijah – sintetične droge, vključno s poživili tipa amfetamin (vključno z amfetaminom in metamfetaminom) in MDMA</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kg</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kg</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2021</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125</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kg</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Letno in polletno poročilo o delu policije</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p>
        </w:tc>
      </w:tr>
      <w:tr>
        <w:tblPrEx>
          <w:tblW w:w="5000" w:type="pct"/>
          <w:tblLayout w:type="fixed"/>
        </w:tblPrEx>
        <w:trPr>
          <w:cantSplit w:val="0"/>
          <w:trHeight w:hRule="auto" w:val="0"/>
          <w:tblHeader w:val="0"/>
        </w:trPr>
        <w:tc>
          <w:tcPr>
            <w:tcW w:w="25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R.2.6.5</w:t>
            </w:r>
          </w:p>
        </w:tc>
        <w:tc>
          <w:tcPr>
            <w:tcW w:w="75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Količina prepovedanih drog, zaseženih v čezmejnih operacijah – nove psihoaktivne snovi</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kg</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kg</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2021</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2</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kg</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Letno in polletno poročilo o delu policije</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p>
        </w:tc>
      </w:tr>
      <w:tr>
        <w:tblPrEx>
          <w:tblW w:w="5000" w:type="pct"/>
          <w:tblLayout w:type="fixed"/>
        </w:tblPrEx>
        <w:trPr>
          <w:cantSplit w:val="0"/>
          <w:trHeight w:hRule="auto" w:val="0"/>
          <w:tblHeader w:val="0"/>
        </w:trPr>
        <w:tc>
          <w:tcPr>
            <w:tcW w:w="25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R.2.6.6</w:t>
            </w:r>
          </w:p>
        </w:tc>
        <w:tc>
          <w:tcPr>
            <w:tcW w:w="75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Količina prepovedanih drog, zaseženih v čezmejnih operacijah – druge prepovedane droge</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kg</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kg</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2021</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3</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kg</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Letno in polletno poročilo o delu policije</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p>
        </w:tc>
      </w:tr>
      <w:tr>
        <w:tblPrEx>
          <w:tblW w:w="5000" w:type="pct"/>
          <w:tblLayout w:type="fixed"/>
        </w:tblPrEx>
        <w:trPr>
          <w:cantSplit w:val="0"/>
          <w:trHeight w:hRule="auto" w:val="0"/>
          <w:tblHeader w:val="0"/>
        </w:trPr>
        <w:tc>
          <w:tcPr>
            <w:tcW w:w="25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R.2.7.1</w:t>
            </w:r>
          </w:p>
        </w:tc>
        <w:tc>
          <w:tcPr>
            <w:tcW w:w="75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Količina orožja, zaseženega v čezmejnih operacijah – vojaško orožje: avtomatsko strelno orožje in težko strelno orožje (protitankovsko orožje, metalec raket, minomet itd.)</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število</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število</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2021</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712</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število</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Letno in polletno poročilo o delu policije.</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p>
          <w:p w:rsidR="00A77B3E">
            <w:pPr>
              <w:spacing w:before="100" w:after="0"/>
              <w:jc w:val="left"/>
              <w:rPr>
                <w:rFonts w:ascii="Times New Roman" w:eastAsia="Times New Roman" w:hAnsi="Times New Roman" w:cs="Times New Roman"/>
                <w:b w:val="0"/>
                <w:i w:val="0"/>
                <w:vanish w:val="0"/>
                <w:color w:val="000000"/>
                <w:sz w:val="20"/>
              </w:rPr>
            </w:pPr>
          </w:p>
        </w:tc>
      </w:tr>
      <w:tr>
        <w:tblPrEx>
          <w:tblW w:w="5000" w:type="pct"/>
          <w:tblLayout w:type="fixed"/>
        </w:tblPrEx>
        <w:trPr>
          <w:cantSplit w:val="0"/>
          <w:trHeight w:hRule="auto" w:val="0"/>
          <w:tblHeader w:val="0"/>
        </w:trPr>
        <w:tc>
          <w:tcPr>
            <w:tcW w:w="25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R.2.7.2</w:t>
            </w:r>
          </w:p>
        </w:tc>
        <w:tc>
          <w:tcPr>
            <w:tcW w:w="75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Količina orožja, zaseženega v čezmejnih operacijah – drugo kratkocevno strelno orožje: revolverji in pištole (vključno z rekvizitnim in akustičnim orožjem)</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število</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število</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2021</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285</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število</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Letno in polletno poročilo o delu policije.</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p>
        </w:tc>
      </w:tr>
      <w:tr>
        <w:tblPrEx>
          <w:tblW w:w="5000" w:type="pct"/>
          <w:tblLayout w:type="fixed"/>
        </w:tblPrEx>
        <w:trPr>
          <w:cantSplit w:val="0"/>
          <w:trHeight w:hRule="auto" w:val="0"/>
          <w:tblHeader w:val="0"/>
        </w:trPr>
        <w:tc>
          <w:tcPr>
            <w:tcW w:w="25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R.2.7.3</w:t>
            </w:r>
          </w:p>
        </w:tc>
        <w:tc>
          <w:tcPr>
            <w:tcW w:w="75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Količina orožja, zaseženega v čezmejnih operacijah – drugo dolgocevno orožje: puške in šibrenice (vključno z rekvizitnim in akustičnim orožjem)</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število</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število</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2021</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416</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število</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Letno in polletno poročilo o delu policije.</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p>
        </w:tc>
      </w:tr>
      <w:tr>
        <w:tblPrEx>
          <w:tblW w:w="5000" w:type="pct"/>
          <w:tblLayout w:type="fixed"/>
        </w:tblPrEx>
        <w:trPr>
          <w:cantSplit w:val="0"/>
          <w:trHeight w:hRule="auto" w:val="0"/>
          <w:tblHeader w:val="0"/>
        </w:trPr>
        <w:tc>
          <w:tcPr>
            <w:tcW w:w="25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R.2.8</w:t>
            </w:r>
          </w:p>
        </w:tc>
        <w:tc>
          <w:tcPr>
            <w:tcW w:w="75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Število upravnih enot, ki so razvile/prilagodile obstoječe mehanizme/postopke/orodja/smernice za sodelovanje z drugimi državami članicami/agencijami EU/mednarodnimi organizacijami/tretjimi državami</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število</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število</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2021</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3</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število</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Evidenca policije (UKP GPU).</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p>
        </w:tc>
      </w:tr>
      <w:tr>
        <w:tblPrEx>
          <w:tblW w:w="5000" w:type="pct"/>
          <w:tblLayout w:type="fixed"/>
        </w:tblPrEx>
        <w:trPr>
          <w:cantSplit w:val="0"/>
          <w:trHeight w:hRule="auto" w:val="0"/>
          <w:tblHeader w:val="0"/>
        </w:trPr>
        <w:tc>
          <w:tcPr>
            <w:tcW w:w="25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R.2.9</w:t>
            </w:r>
          </w:p>
        </w:tc>
        <w:tc>
          <w:tcPr>
            <w:tcW w:w="75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Število osebja, udeleženega v čezmejnih operacijah</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število</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število</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2021</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265</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število</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Evidenca policije (UKP GPU).</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p>
        </w:tc>
      </w:tr>
      <w:tr>
        <w:tblPrEx>
          <w:tblW w:w="5000" w:type="pct"/>
          <w:tblLayout w:type="fixed"/>
        </w:tblPrEx>
        <w:trPr>
          <w:cantSplit w:val="0"/>
          <w:trHeight w:hRule="auto" w:val="0"/>
          <w:tblHeader w:val="0"/>
        </w:trPr>
        <w:tc>
          <w:tcPr>
            <w:tcW w:w="25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R.2.10</w:t>
            </w:r>
          </w:p>
        </w:tc>
        <w:tc>
          <w:tcPr>
            <w:tcW w:w="75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Število obravnavanih priporočil na podlagi schengenskega ocenjevanja</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število</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število</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2021</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100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odstotek</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Evidenca policije (UKP GPU).</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p>
        </w:tc>
      </w:tr>
    </w:tbl>
    <w:p w:rsidR="00A77B3E">
      <w:pPr>
        <w:spacing w:before="100" w:after="0"/>
        <w:jc w:val="left"/>
        <w:rPr>
          <w:rFonts w:ascii="Times New Roman" w:eastAsia="Times New Roman" w:hAnsi="Times New Roman" w:cs="Times New Roman"/>
          <w:b w:val="0"/>
          <w:i w:val="0"/>
          <w:vanish w:val="0"/>
          <w:color w:val="000000"/>
          <w:sz w:val="20"/>
        </w:rPr>
        <w:sectPr>
          <w:headerReference w:type="even" r:id="rId34"/>
          <w:headerReference w:type="default" r:id="rId35"/>
          <w:footerReference w:type="even" r:id="rId36"/>
          <w:footerReference w:type="default" r:id="rId37"/>
          <w:headerReference w:type="first" r:id="rId38"/>
          <w:footerReference w:type="first" r:id="rId39"/>
          <w:type w:val="nextPage"/>
          <w:pgSz w:w="16838" w:h="11906" w:orient="landscape"/>
          <w:pgMar w:top="720" w:right="720" w:bottom="864" w:left="936" w:header="288" w:footer="72" w:gutter="0"/>
          <w:cols w:space="708"/>
          <w:noEndnote/>
          <w:docGrid w:linePitch="360"/>
        </w:sectPr>
      </w:pPr>
    </w:p>
    <w:p w:rsidR="00A77B3E">
      <w:pPr>
        <w:spacing w:before="100" w:after="0"/>
        <w:jc w:val="left"/>
        <w:rPr>
          <w:rFonts w:ascii="Times New Roman" w:eastAsia="Times New Roman" w:hAnsi="Times New Roman" w:cs="Times New Roman"/>
          <w:b w:val="0"/>
          <w:i w:val="0"/>
          <w:vanish w:val="0"/>
          <w:color w:val="000000"/>
          <w:sz w:val="0"/>
        </w:rPr>
      </w:pPr>
      <w:r>
        <w:rPr>
          <w:rFonts w:ascii="Times New Roman" w:eastAsia="Times New Roman" w:hAnsi="Times New Roman" w:cs="Times New Roman"/>
          <w:b w:val="0"/>
          <w:i w:val="0"/>
          <w:vanish w:val="0"/>
          <w:color w:val="000000"/>
          <w:sz w:val="24"/>
        </w:rPr>
        <w:t>2.1. Specifični cilj 2. Čezmejno sodelovanje</w:t>
      </w:r>
    </w:p>
    <w:p w:rsidR="00A77B3E">
      <w:pPr>
        <w:pStyle w:val="Heading3"/>
        <w:spacing w:before="100" w:after="0"/>
        <w:jc w:val="left"/>
        <w:rPr>
          <w:rFonts w:ascii="Times New Roman" w:eastAsia="Times New Roman" w:hAnsi="Times New Roman" w:cs="Times New Roman"/>
          <w:b w:val="0"/>
          <w:i w:val="0"/>
          <w:vanish w:val="0"/>
          <w:color w:val="000000"/>
          <w:sz w:val="24"/>
        </w:rPr>
      </w:pPr>
      <w:bookmarkStart w:id="14" w:name="_Toc256000069"/>
      <w:r>
        <w:rPr>
          <w:rFonts w:ascii="Times New Roman" w:eastAsia="Times New Roman" w:hAnsi="Times New Roman" w:cs="Times New Roman"/>
          <w:b w:val="0"/>
          <w:i w:val="0"/>
          <w:vanish w:val="0"/>
          <w:color w:val="000000"/>
          <w:sz w:val="24"/>
        </w:rPr>
        <w:t>2.1.3. Okvirna razčlenitev programskih sredstev (EU) po vrsti ukrepa</w:t>
      </w:r>
      <w:bookmarkEnd w:id="14"/>
    </w:p>
    <w:p w:rsidR="00A77B3E">
      <w:pPr>
        <w:spacing w:before="100" w:after="0"/>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Sklic: člen 22(5) uredbe o skupnih določbah, člen 16(2) uredbe o AMIF, člen 13(12) uredbe o SNV ali člen 13(18) uredbe o IUMV</w:t>
      </w:r>
    </w:p>
    <w:p w:rsidR="00A77B3E">
      <w:pPr>
        <w:pStyle w:val="Heading4"/>
        <w:spacing w:before="100" w:after="0"/>
        <w:jc w:val="left"/>
        <w:rPr>
          <w:rFonts w:ascii="Times New Roman" w:eastAsia="Times New Roman" w:hAnsi="Times New Roman" w:cs="Times New Roman"/>
          <w:b w:val="0"/>
          <w:i w:val="0"/>
          <w:vanish w:val="0"/>
          <w:color w:val="000000"/>
          <w:sz w:val="24"/>
        </w:rPr>
      </w:pPr>
      <w:bookmarkStart w:id="15" w:name="_Toc256000070"/>
      <w:r>
        <w:rPr>
          <w:rFonts w:ascii="Times New Roman" w:eastAsia="Times New Roman" w:hAnsi="Times New Roman" w:cs="Times New Roman"/>
          <w:b w:val="0"/>
          <w:i w:val="0"/>
          <w:vanish w:val="0"/>
          <w:color w:val="000000"/>
          <w:sz w:val="24"/>
        </w:rPr>
        <w:t>Tabela 3: Okvirna razčlenitev</w:t>
      </w:r>
      <w:bookmarkEnd w:id="15"/>
    </w:p>
    <w:p w:rsidR="00A77B3E">
      <w:pPr>
        <w:spacing w:before="100" w:after="0"/>
        <w:jc w:val="left"/>
        <w:rPr>
          <w:rFonts w:ascii="Times New Roman" w:eastAsia="Times New Roman" w:hAnsi="Times New Roman" w:cs="Times New Roman"/>
          <w:b w:val="0"/>
          <w:i w:val="0"/>
          <w:vanish w:val="0"/>
          <w:color w:val="000000"/>
          <w:sz w:val="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1845"/>
        <w:gridCol w:w="10989"/>
        <w:gridCol w:w="2468"/>
      </w:tblGrid>
      <w:tr>
        <w:tblPrEx>
          <w:tblW w:w="5000" w:type="pct"/>
        </w:tblPrEx>
        <w:trPr>
          <w:cantSplit w:val="0"/>
          <w:trHeight w:hRule="auto" w:val="0"/>
          <w:tblHeader/>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Vrsta intervencije</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Oznaka</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Okvirni znesek (v EUR)</w:t>
            </w:r>
          </w:p>
        </w:tc>
      </w:tr>
      <w:tr>
        <w:tblPrEx>
          <w:tblW w:w="5000" w:type="pct"/>
        </w:tblPrEx>
        <w:trPr>
          <w:cantSplit w:val="0"/>
          <w:trHeight w:hRule="auto" w:val="0"/>
          <w:tblHeader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Vrsta ukrepa</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001.Sistemi IKT, interoperabilnost, kakovost podatkov (razen opreme)</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0,00</w:t>
            </w:r>
          </w:p>
        </w:tc>
      </w:tr>
      <w:tr>
        <w:tblPrEx>
          <w:tblW w:w="5000" w:type="pct"/>
        </w:tblPrEx>
        <w:trPr>
          <w:cantSplit w:val="0"/>
          <w:trHeight w:hRule="auto" w:val="0"/>
          <w:tblHeader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Vrsta ukrepa</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002.Omrežja, centri odličnosti, strukture sodelovanja, skupni ukrepi in operacije</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0,00</w:t>
            </w:r>
          </w:p>
        </w:tc>
      </w:tr>
      <w:tr>
        <w:tblPrEx>
          <w:tblW w:w="5000" w:type="pct"/>
        </w:tblPrEx>
        <w:trPr>
          <w:cantSplit w:val="0"/>
          <w:trHeight w:hRule="auto" w:val="0"/>
          <w:tblHeader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Vrsta ukrepa</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003.Skupne preiskovalne skupine ali druge skupne operacije</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4.617.500,00</w:t>
            </w:r>
          </w:p>
        </w:tc>
      </w:tr>
      <w:tr>
        <w:tblPrEx>
          <w:tblW w:w="5000" w:type="pct"/>
        </w:tblPrEx>
        <w:trPr>
          <w:cantSplit w:val="0"/>
          <w:trHeight w:hRule="auto" w:val="0"/>
          <w:tblHeader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Vrsta ukrepa</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004.Napotitev ali premestitev strokovnjakov</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54.000,00</w:t>
            </w:r>
          </w:p>
        </w:tc>
      </w:tr>
      <w:tr>
        <w:tblPrEx>
          <w:tblW w:w="5000" w:type="pct"/>
        </w:tblPrEx>
        <w:trPr>
          <w:cantSplit w:val="0"/>
          <w:trHeight w:hRule="auto" w:val="0"/>
          <w:tblHeader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Vrsta ukrepa</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005.Usposabljanje</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126.750,00</w:t>
            </w:r>
          </w:p>
        </w:tc>
      </w:tr>
      <w:tr>
        <w:tblPrEx>
          <w:tblW w:w="5000" w:type="pct"/>
        </w:tblPrEx>
        <w:trPr>
          <w:cantSplit w:val="0"/>
          <w:trHeight w:hRule="auto" w:val="0"/>
          <w:tblHeader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Vrsta ukrepa</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006.Izmenjava dobrih praks, delavnice, konference, dogodki, kampanje za ozaveščanje, dejavnosti komuniciranja</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205.000,00</w:t>
            </w:r>
          </w:p>
        </w:tc>
      </w:tr>
      <w:tr>
        <w:tblPrEx>
          <w:tblW w:w="5000" w:type="pct"/>
        </w:tblPrEx>
        <w:trPr>
          <w:cantSplit w:val="0"/>
          <w:trHeight w:hRule="auto" w:val="0"/>
          <w:tblHeader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Vrsta ukrepa</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007.Študije, pilotni projekti, ocene tveganja</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0,00</w:t>
            </w:r>
          </w:p>
        </w:tc>
      </w:tr>
      <w:tr>
        <w:tblPrEx>
          <w:tblW w:w="5000" w:type="pct"/>
        </w:tblPrEx>
        <w:trPr>
          <w:cantSplit w:val="0"/>
          <w:trHeight w:hRule="auto" w:val="0"/>
          <w:tblHeader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Vrsta ukrepa</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008.Oprema</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378.250,00</w:t>
            </w:r>
          </w:p>
        </w:tc>
      </w:tr>
      <w:tr>
        <w:tblPrEx>
          <w:tblW w:w="5000" w:type="pct"/>
        </w:tblPrEx>
        <w:trPr>
          <w:cantSplit w:val="0"/>
          <w:trHeight w:hRule="auto" w:val="0"/>
          <w:tblHeader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Vrsta ukrepa</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009.Prevozna sredstva</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2.932.500,00</w:t>
            </w:r>
          </w:p>
        </w:tc>
      </w:tr>
      <w:tr>
        <w:tblPrEx>
          <w:tblW w:w="5000" w:type="pct"/>
        </w:tblPrEx>
        <w:trPr>
          <w:cantSplit w:val="0"/>
          <w:trHeight w:hRule="auto" w:val="0"/>
          <w:tblHeader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Vrsta ukrepa</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010.Stavbe, objekti</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0,00</w:t>
            </w:r>
          </w:p>
        </w:tc>
      </w:tr>
      <w:tr>
        <w:tblPrEx>
          <w:tblW w:w="5000" w:type="pct"/>
        </w:tblPrEx>
        <w:trPr>
          <w:cantSplit w:val="0"/>
          <w:trHeight w:hRule="auto" w:val="0"/>
          <w:tblHeader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Vrsta ukrepa</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011.Uporaba raziskovalnih projektov ali drugi nadaljnji ukrepi na podlagi teh projektov</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0,00</w:t>
            </w:r>
          </w:p>
        </w:tc>
      </w:tr>
    </w:tbl>
    <w:p w:rsidR="00A77B3E">
      <w:pPr>
        <w:spacing w:before="100" w:after="0"/>
        <w:jc w:val="left"/>
        <w:rPr>
          <w:rFonts w:ascii="Times New Roman" w:eastAsia="Times New Roman" w:hAnsi="Times New Roman" w:cs="Times New Roman"/>
          <w:b w:val="0"/>
          <w:i w:val="0"/>
          <w:vanish w:val="0"/>
          <w:color w:val="000000"/>
          <w:sz w:val="20"/>
        </w:rPr>
        <w:sectPr>
          <w:type w:val="nextPage"/>
          <w:pgSz w:w="16838" w:h="11906" w:orient="landscape"/>
          <w:pgMar w:top="720" w:right="720" w:bottom="864" w:left="936" w:header="288" w:footer="72" w:gutter="0"/>
          <w:cols w:space="708"/>
          <w:noEndnote/>
          <w:docGrid w:linePitch="360"/>
        </w:sectPr>
      </w:pPr>
    </w:p>
    <w:p w:rsidR="00A77B3E">
      <w:pPr>
        <w:pStyle w:val="Heading2"/>
        <w:spacing w:before="100" w:after="0"/>
        <w:jc w:val="left"/>
        <w:rPr>
          <w:rFonts w:ascii="TimesNewRoman" w:eastAsia="TimesNewRoman" w:hAnsi="TimesNewRoman" w:cs="TimesNewRoman"/>
          <w:b w:val="0"/>
          <w:i w:val="0"/>
          <w:vanish w:val="0"/>
          <w:color w:val="000000"/>
          <w:sz w:val="24"/>
        </w:rPr>
      </w:pPr>
      <w:bookmarkStart w:id="16" w:name="_Toc256000071"/>
      <w:r>
        <w:rPr>
          <w:rFonts w:ascii="TimesNewRoman" w:eastAsia="TimesNewRoman" w:hAnsi="TimesNewRoman" w:cs="TimesNewRoman"/>
          <w:b w:val="0"/>
          <w:i w:val="0"/>
          <w:vanish w:val="0"/>
          <w:color w:val="000000"/>
          <w:sz w:val="24"/>
        </w:rPr>
        <w:t>2.1. Specifični cilj: 3. Preprečevanje kriminala in boj proti njemu</w:t>
      </w:r>
      <w:bookmarkEnd w:id="16"/>
    </w:p>
    <w:p w:rsidR="00A77B3E">
      <w:pPr>
        <w:spacing w:before="100" w:after="0"/>
        <w:jc w:val="left"/>
        <w:rPr>
          <w:rFonts w:ascii="TimesNewRoman" w:eastAsia="TimesNewRoman" w:hAnsi="TimesNewRoman" w:cs="TimesNewRoman"/>
          <w:b w:val="0"/>
          <w:i w:val="0"/>
          <w:vanish w:val="0"/>
          <w:color w:val="000000"/>
          <w:sz w:val="0"/>
        </w:rPr>
      </w:pPr>
    </w:p>
    <w:p w:rsidR="00A77B3E">
      <w:pPr>
        <w:pStyle w:val="Heading3"/>
        <w:spacing w:before="100" w:after="0"/>
        <w:jc w:val="left"/>
        <w:rPr>
          <w:rFonts w:ascii="TimesNewRoman" w:eastAsia="TimesNewRoman" w:hAnsi="TimesNewRoman" w:cs="TimesNewRoman"/>
          <w:b w:val="0"/>
          <w:i w:val="0"/>
          <w:vanish w:val="0"/>
          <w:color w:val="000000"/>
          <w:sz w:val="24"/>
        </w:rPr>
      </w:pPr>
      <w:bookmarkStart w:id="17" w:name="_Toc256000072"/>
      <w:r>
        <w:rPr>
          <w:rFonts w:ascii="TimesNewRoman" w:eastAsia="TimesNewRoman" w:hAnsi="TimesNewRoman" w:cs="TimesNewRoman"/>
          <w:b w:val="0"/>
          <w:i w:val="0"/>
          <w:vanish w:val="0"/>
          <w:color w:val="000000"/>
          <w:sz w:val="24"/>
        </w:rPr>
        <w:t>2.1.1. Opis specifičnega cilja</w:t>
      </w:r>
      <w:bookmarkEnd w:id="17"/>
    </w:p>
    <w:p w:rsidR="00A77B3E">
      <w:pPr>
        <w:spacing w:before="100" w:after="0"/>
        <w:jc w:val="left"/>
        <w:rPr>
          <w:rFonts w:ascii="TimesNewRoman" w:eastAsia="TimesNewRoman" w:hAnsi="TimesNewRoman" w:cs="TimesNewRoman"/>
          <w:b w:val="0"/>
          <w:i w:val="0"/>
          <w:vanish w:val="0"/>
          <w:color w:val="000000"/>
          <w:sz w:val="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Pr>
      <w:tblGrid>
        <w:gridCol w:w="10240"/>
      </w:tblGrid>
      <w:tr>
        <w:tblPrEx>
          <w:tblW w:w="5000" w:type="pct"/>
          <w:tblLayout w:type="fixed"/>
        </w:tblPrEx>
        <w:trPr>
          <w:cantSplit w:val="0"/>
          <w:trHeight w:hRule="auto" w:val="0"/>
          <w:tblHeader w:val="0"/>
        </w:trPr>
        <w:tc>
          <w:tcPr>
            <w:tcW w:w="50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0"/>
              </w:rPr>
            </w:pP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Ukrepi SI v okviru SO3 bodo osredotočeni na krepitev zmogljivosti za boj proti kriminalu. Nadaljevale se bodo aktivnosti iz pretekle finančne sheme ter nove za reševanje izzivov in vrzeli.</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Ključni resorji MNZJU, Policija (policija), Urad za oskrbo in integracijo migrantov (UOIM) ter Ministrstvo za obrambo (MO) bodo prejeli sredstva preko neposredne dodelitve (področna zakonska pristojnost). Del sredstev oddan z javnimi razpisi (radikalizacija, zaščita žrtev trgovine z ljudi in njihova reintegracija). Sredstva SNV so le del sredstev za uresničevanje ciljev tega področja, ostalo bo zagotovljeno iz proračuna SI (plače zaposlenih ter drugi mat. stroški).</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Znotraj izvedbenih ukrepov (Priloga II – a, b, c, d, e) bo SI usmerjena na področja podpore a, b, d, e, f, k, l iz Pril. III in 1, 4, 5 Pril. IV. Mogoče je financiranje razvoja inovativnih metod ali uvajanje novih tehnologij, ki se lahko prenesejo v druge DČ (Priloga IIIe).</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Pričakovani rezultati:</w:t>
            </w:r>
          </w:p>
          <w:p w:rsidR="00A77B3E">
            <w:pPr>
              <w:numPr>
                <w:ilvl w:val="0"/>
                <w:numId w:val="9"/>
              </w:numPr>
              <w:spacing w:before="100" w:after="0"/>
              <w:ind w:left="720" w:hanging="36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Izboljšane operativne sposobnosti policije za boj proti hudim in organiziranim oblikam kriminala, okrepljene preiskovalne aktivnosti za zaščito finančnih interesov EU in SI, vzpostavljena nacionalna enota za okoljsko kriminaliteto</w:t>
            </w:r>
          </w:p>
          <w:p w:rsidR="00A77B3E">
            <w:pPr>
              <w:numPr>
                <w:ilvl w:val="0"/>
                <w:numId w:val="9"/>
              </w:numPr>
              <w:spacing w:before="100" w:after="0"/>
              <w:ind w:left="720" w:hanging="36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Zaščitene priče, skesanci in žrtve trgovine z ljudmi</w:t>
            </w:r>
          </w:p>
          <w:p w:rsidR="00A77B3E">
            <w:pPr>
              <w:numPr>
                <w:ilvl w:val="0"/>
                <w:numId w:val="9"/>
              </w:numPr>
              <w:spacing w:before="100" w:after="0"/>
              <w:ind w:left="720" w:hanging="36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Posodobljena opreme in znanja za oglede KD</w:t>
            </w:r>
          </w:p>
          <w:p w:rsidR="00A77B3E">
            <w:pPr>
              <w:numPr>
                <w:ilvl w:val="0"/>
                <w:numId w:val="9"/>
              </w:numPr>
              <w:spacing w:before="100" w:after="0"/>
              <w:ind w:left="720" w:hanging="36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Posodobljena opreme za protiteroristična usposabljanja</w:t>
            </w:r>
          </w:p>
          <w:p w:rsidR="00A77B3E">
            <w:pPr>
              <w:numPr>
                <w:ilvl w:val="0"/>
                <w:numId w:val="9"/>
              </w:numPr>
              <w:spacing w:before="100" w:after="0"/>
              <w:ind w:left="720" w:hanging="36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Usposobljenost za odkrivanje, preprečevanje in preiskovanje kriminala</w:t>
            </w:r>
          </w:p>
          <w:p w:rsidR="00A77B3E">
            <w:pPr>
              <w:numPr>
                <w:ilvl w:val="0"/>
                <w:numId w:val="9"/>
              </w:numPr>
              <w:spacing w:before="100" w:after="0"/>
              <w:ind w:left="720" w:hanging="36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Uvedeni sistemi za zaznavanje anomalij in odkrivanje naprednih vztrajnih groženj (APT) za odkrivanje nelegalnih aktivnosti v kibernetskem prostoru, tudi prikritih tehnik zlorab (večja varnost)</w:t>
            </w:r>
          </w:p>
          <w:p w:rsidR="00A77B3E">
            <w:pPr>
              <w:numPr>
                <w:ilvl w:val="0"/>
                <w:numId w:val="9"/>
              </w:numPr>
              <w:spacing w:before="100" w:after="0"/>
              <w:ind w:left="720" w:hanging="36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Boljša pripravljenost subjektov kriznega upravljanja in upravljavcev kritične infrastrukture za odziv na hibridne groženje in krizne razmere, boljša pripravljenost na interoperabilnost in večja odpornost kritične infrastrukture</w:t>
            </w:r>
          </w:p>
          <w:p w:rsidR="00A77B3E">
            <w:pPr>
              <w:numPr>
                <w:ilvl w:val="0"/>
                <w:numId w:val="9"/>
              </w:numPr>
              <w:spacing w:before="100" w:after="0"/>
              <w:ind w:left="720" w:hanging="36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Nadgradnja, dopolnitev sistema protidronske elektronske zaščite</w:t>
            </w:r>
          </w:p>
          <w:p w:rsidR="00A77B3E">
            <w:pPr>
              <w:numPr>
                <w:ilvl w:val="0"/>
                <w:numId w:val="9"/>
              </w:numPr>
              <w:spacing w:before="100" w:after="0"/>
              <w:ind w:left="720" w:hanging="36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Finančne preiskave in sodelovanje z ARO/AMO</w:t>
            </w:r>
          </w:p>
          <w:p w:rsidR="00A77B3E">
            <w:pPr>
              <w:spacing w:before="100" w:after="0"/>
              <w:jc w:val="left"/>
              <w:rPr>
                <w:rFonts w:ascii="TimesNewRoman" w:eastAsia="TimesNewRoman" w:hAnsi="TimesNewRoman" w:cs="TimesNewRoman"/>
                <w:b w:val="0"/>
                <w:i w:val="0"/>
                <w:vanish w:val="0"/>
                <w:color w:val="000000"/>
                <w:sz w:val="24"/>
              </w:rPr>
            </w:pPr>
          </w:p>
          <w:p w:rsidR="00A77B3E">
            <w:pPr>
              <w:spacing w:before="100" w:after="0"/>
              <w:jc w:val="left"/>
              <w:rPr>
                <w:rFonts w:ascii="TimesNewRoman" w:eastAsia="TimesNewRoman" w:hAnsi="TimesNewRoman" w:cs="TimesNewRoman"/>
                <w:b w:val="0"/>
                <w:i w:val="0"/>
                <w:vanish w:val="0"/>
                <w:color w:val="000000"/>
                <w:sz w:val="24"/>
              </w:rPr>
            </w:pPr>
            <w:r>
              <w:rPr>
                <w:rStyle w:val="Strong"/>
                <w:rFonts w:ascii="TimesNewRoman" w:eastAsia="TimesNewRoman" w:hAnsi="TimesNewRoman" w:cs="TimesNewRoman"/>
                <w:b w:val="0"/>
                <w:i w:val="0"/>
                <w:vanish w:val="0"/>
                <w:color w:val="000000"/>
                <w:sz w:val="24"/>
              </w:rPr>
              <w:t xml:space="preserve">1) </w:t>
            </w:r>
            <w:r>
              <w:rPr>
                <w:rStyle w:val="Strong"/>
                <w:rFonts w:ascii="TimesNewRoman" w:eastAsia="TimesNewRoman" w:hAnsi="TimesNewRoman" w:cs="TimesNewRoman"/>
                <w:b w:val="0"/>
                <w:i w:val="0"/>
                <w:vanish w:val="0"/>
                <w:color w:val="000000"/>
                <w:sz w:val="24"/>
                <w:u w:val="single"/>
              </w:rPr>
              <w:t xml:space="preserve">Izvedbeni ukrep 3a): Povečanje usposobljenosti </w:t>
            </w:r>
          </w:p>
          <w:p w:rsidR="00A77B3E">
            <w:pPr>
              <w:spacing w:before="100" w:after="0"/>
              <w:jc w:val="left"/>
              <w:rPr>
                <w:rFonts w:ascii="TimesNewRoman" w:eastAsia="TimesNewRoman" w:hAnsi="TimesNewRoman" w:cs="TimesNewRoman"/>
                <w:b w:val="0"/>
                <w:i w:val="0"/>
                <w:vanish w:val="0"/>
                <w:color w:val="000000"/>
                <w:sz w:val="24"/>
              </w:rPr>
            </w:pP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 xml:space="preserve">- </w:t>
            </w:r>
            <w:r>
              <w:rPr>
                <w:rStyle w:val="Strong"/>
                <w:rFonts w:ascii="TimesNewRoman" w:eastAsia="TimesNewRoman" w:hAnsi="TimesNewRoman" w:cs="TimesNewRoman"/>
                <w:b w:val="0"/>
                <w:i w:val="0"/>
                <w:vanish w:val="0"/>
                <w:color w:val="000000"/>
                <w:sz w:val="24"/>
              </w:rPr>
              <w:t xml:space="preserve">Izboljšanje kapacitet za preiskovanje gospodarske kriminalitete </w:t>
            </w:r>
          </w:p>
          <w:p w:rsidR="00A77B3E">
            <w:pPr>
              <w:spacing w:before="100" w:after="0"/>
              <w:jc w:val="left"/>
              <w:rPr>
                <w:rFonts w:ascii="TimesNewRoman" w:eastAsia="TimesNewRoman" w:hAnsi="TimesNewRoman" w:cs="TimesNewRoman"/>
                <w:b w:val="0"/>
                <w:i w:val="0"/>
                <w:vanish w:val="0"/>
                <w:color w:val="000000"/>
                <w:sz w:val="24"/>
              </w:rPr>
            </w:pPr>
            <w:r>
              <w:rPr>
                <w:rStyle w:val="Strong"/>
                <w:rFonts w:ascii="TimesNewRoman" w:eastAsia="TimesNewRoman" w:hAnsi="TimesNewRoman" w:cs="TimesNewRoman"/>
                <w:b w:val="0"/>
                <w:i w:val="0"/>
                <w:vanish w:val="0"/>
                <w:color w:val="000000"/>
                <w:sz w:val="24"/>
              </w:rPr>
              <w:t>Gospodarska kriminaliteta, korupcija ter nezakonito poslovanje pravnih oseb</w:t>
            </w:r>
            <w:r>
              <w:rPr>
                <w:rFonts w:ascii="TimesNewRoman" w:eastAsia="TimesNewRoman" w:hAnsi="TimesNewRoman" w:cs="TimesNewRoman"/>
                <w:b w:val="0"/>
                <w:i w:val="0"/>
                <w:vanish w:val="0"/>
                <w:color w:val="000000"/>
                <w:sz w:val="24"/>
              </w:rPr>
              <w:t xml:space="preserve"> povzročajo največ škode oz. pridobitev enormne protipravne premoženjske koristi. Storilci se med seboj povezujejo, delujejo organizirano, tudi na področju mednarodnih davčnih utaj v škodo proračuna Sl in EU in pranja denarja.</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Glavni izziv je izboljšati operativne zmogljivosti enot za učinkovito odkrivanje in preiskovanje gospodarskih in finančnih KD (spletne goljufije, goljufije znotraj EU z neobstoječim trgovcem, goljufije s trošarinami, pranje denarja, odvzem premoženja), v skladu s prednostnimi nalogami EMPACT in operativnimi ukrepi, s potrebami po usposabljanju, opredeljene v EU STNA 2022-2025, z Resolucijo o nacionalnem programu preprečevanja in zatiranja kriminalitete za obdobje 2019–2023 in Srednjeročnim načrtom razvoja in dela policije v SI za 2018–2022.</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Financiran bo dostop do elektronskih baz podatkov o gospodarskih subjektih po svetu, usposabljanje policistov za učinkovito odkrivanje in preiskovanje gospodarskega kriminala in korupcije.</w:t>
            </w:r>
          </w:p>
          <w:p w:rsidR="00A77B3E">
            <w:pPr>
              <w:spacing w:before="100" w:after="0"/>
              <w:jc w:val="left"/>
              <w:rPr>
                <w:rFonts w:ascii="TimesNewRoman" w:eastAsia="TimesNewRoman" w:hAnsi="TimesNewRoman" w:cs="TimesNewRoman"/>
                <w:b w:val="0"/>
                <w:i w:val="0"/>
                <w:vanish w:val="0"/>
                <w:color w:val="000000"/>
                <w:sz w:val="24"/>
              </w:rPr>
            </w:pPr>
          </w:p>
          <w:p w:rsidR="00A77B3E">
            <w:pPr>
              <w:spacing w:before="100" w:after="0"/>
              <w:jc w:val="left"/>
              <w:rPr>
                <w:rFonts w:ascii="TimesNewRoman" w:eastAsia="TimesNewRoman" w:hAnsi="TimesNewRoman" w:cs="TimesNewRoman"/>
                <w:b w:val="0"/>
                <w:i w:val="0"/>
                <w:vanish w:val="0"/>
                <w:color w:val="000000"/>
                <w:sz w:val="24"/>
              </w:rPr>
            </w:pPr>
            <w:r>
              <w:rPr>
                <w:rStyle w:val="Strong"/>
                <w:rFonts w:ascii="TimesNewRoman" w:eastAsia="TimesNewRoman" w:hAnsi="TimesNewRoman" w:cs="TimesNewRoman"/>
                <w:b w:val="0"/>
                <w:i w:val="0"/>
                <w:vanish w:val="0"/>
                <w:color w:val="000000"/>
                <w:sz w:val="24"/>
              </w:rPr>
              <w:t>- Vzpostavitev nacionalnih kapacitet na področju okoljske kriminalitete</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 xml:space="preserve">S sprejetjem Direktive 2008/99/ES Evropskega parlamenta in Sveta o kazenskopravnem varstvu okolja je na ravni EU v ospredju boj zoper </w:t>
            </w:r>
            <w:r>
              <w:rPr>
                <w:rStyle w:val="Strong"/>
                <w:rFonts w:ascii="TimesNewRoman" w:eastAsia="TimesNewRoman" w:hAnsi="TimesNewRoman" w:cs="TimesNewRoman"/>
                <w:b w:val="0"/>
                <w:i w:val="0"/>
                <w:vanish w:val="0"/>
                <w:color w:val="000000"/>
                <w:sz w:val="24"/>
              </w:rPr>
              <w:t>okoljsko kriminaliteto</w:t>
            </w:r>
            <w:r>
              <w:rPr>
                <w:rFonts w:ascii="TimesNewRoman" w:eastAsia="TimesNewRoman" w:hAnsi="TimesNewRoman" w:cs="TimesNewRoman"/>
                <w:b w:val="0"/>
                <w:i w:val="0"/>
                <w:vanish w:val="0"/>
                <w:color w:val="000000"/>
                <w:sz w:val="24"/>
              </w:rPr>
              <w:t>.</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Izziv: ustanovitev nacionalne enote za okoljsko kriminaliteto, sodelovanje v Evropski mreži policistov (EnviCrimeNet) in preprečevanje, odkrivanje, preiskovanje organiziranih kriminalnih skupin, vpletenih v okoljski kriminal.</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 xml:space="preserve">Financirane bodo aktivnosti za boj proti okoljski kriminaliteti in ustanovitev nacionalne enote za sodelovanje v projektu EMPACT </w:t>
            </w:r>
            <w:r>
              <w:rPr>
                <w:rStyle w:val="Emphasis"/>
                <w:rFonts w:ascii="TimesNewRoman" w:eastAsia="TimesNewRoman" w:hAnsi="TimesNewRoman" w:cs="TimesNewRoman"/>
                <w:b w:val="0"/>
                <w:i w:val="0"/>
                <w:vanish w:val="0"/>
                <w:color w:val="000000"/>
                <w:sz w:val="24"/>
              </w:rPr>
              <w:t xml:space="preserve">Environmental Crime </w:t>
            </w:r>
            <w:r>
              <w:rPr>
                <w:rFonts w:ascii="TimesNewRoman" w:eastAsia="TimesNewRoman" w:hAnsi="TimesNewRoman" w:cs="TimesNewRoman"/>
                <w:b w:val="0"/>
                <w:i w:val="0"/>
                <w:vanish w:val="0"/>
                <w:color w:val="000000"/>
                <w:sz w:val="24"/>
              </w:rPr>
              <w:t>in Evropski mreži policistov (EnviCrimeNet), ki ga podpira Evropska komisija.</w:t>
            </w:r>
          </w:p>
          <w:p w:rsidR="00A77B3E">
            <w:pPr>
              <w:spacing w:before="100" w:after="0"/>
              <w:jc w:val="left"/>
              <w:rPr>
                <w:rFonts w:ascii="TimesNewRoman" w:eastAsia="TimesNewRoman" w:hAnsi="TimesNewRoman" w:cs="TimesNewRoman"/>
                <w:b w:val="0"/>
                <w:i w:val="0"/>
                <w:vanish w:val="0"/>
                <w:color w:val="000000"/>
                <w:sz w:val="24"/>
              </w:rPr>
            </w:pPr>
          </w:p>
          <w:p w:rsidR="00A77B3E">
            <w:pPr>
              <w:spacing w:before="100" w:after="0"/>
              <w:jc w:val="left"/>
              <w:rPr>
                <w:rFonts w:ascii="TimesNewRoman" w:eastAsia="TimesNewRoman" w:hAnsi="TimesNewRoman" w:cs="TimesNewRoman"/>
                <w:b w:val="0"/>
                <w:i w:val="0"/>
                <w:vanish w:val="0"/>
                <w:color w:val="000000"/>
                <w:sz w:val="24"/>
              </w:rPr>
            </w:pPr>
            <w:r>
              <w:rPr>
                <w:rStyle w:val="Strong"/>
                <w:rFonts w:ascii="TimesNewRoman" w:eastAsia="TimesNewRoman" w:hAnsi="TimesNewRoman" w:cs="TimesNewRoman"/>
                <w:b w:val="0"/>
                <w:i w:val="0"/>
                <w:vanish w:val="0"/>
                <w:color w:val="000000"/>
                <w:sz w:val="24"/>
              </w:rPr>
              <w:t>- Izboljšanje kapacitet na področju kibernetske kriminalitete in digitalne forenzike (fin. 90%)</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Digitalna forenzika pridobiva na pomenu pri preiskovanju skoraj KD. EU SOCTA za leto 2021 navaja, da se je treba osredotočiti na grožnjo kibernetske kriminalitete, kot tudi sklep Sveta z 9.6.2016 o izboljšanju kazenskega pravosodja v kibernetskem prostoru ter implementaciji direktive 2024/1260/EU (ARO/AMO).</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Raznolikost e-naprav, število in količina zaseženih podatkov/dokazov za obdelavo narašča. Za soočanje s temi izzivi bo nabavljena programska in strojna oprema, dodatno usposobljeni policisti za preprečevanje, odkrivanje in preiskovanje kibernetskega kriminala, vključno s temnim spletom ter zavarovanje in preiskavo e-naprav (digitalna forenzika) ter izvajanje vzporednih finančnih preiskav in sledenje denarju.</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Pričakovani rezultat:</w:t>
            </w:r>
            <w:r>
              <w:rPr>
                <w:rStyle w:val="Strong"/>
                <w:rFonts w:ascii="TimesNewRoman" w:eastAsia="TimesNewRoman" w:hAnsi="TimesNewRoman" w:cs="TimesNewRoman"/>
                <w:b w:val="0"/>
                <w:i w:val="0"/>
                <w:vanish w:val="0"/>
                <w:color w:val="000000"/>
                <w:sz w:val="24"/>
              </w:rPr>
              <w:t xml:space="preserve"> </w:t>
            </w:r>
            <w:r>
              <w:rPr>
                <w:rFonts w:ascii="TimesNewRoman" w:eastAsia="TimesNewRoman" w:hAnsi="TimesNewRoman" w:cs="TimesNewRoman"/>
                <w:b w:val="0"/>
                <w:i w:val="0"/>
                <w:vanish w:val="0"/>
                <w:color w:val="000000"/>
                <w:sz w:val="24"/>
              </w:rPr>
              <w:t>povečane in izboljšane kapacitete za preiskovanje digitalne forenzike in kibernetske kriminalitete. Učinkovito izvajanje finančnih preiskav in sledenje denarju ter posledično zaseg premoženja, ki je tudi ključnega pomena pri delovanju ARO in AMO.</w:t>
            </w:r>
          </w:p>
          <w:p w:rsidR="00A77B3E">
            <w:pPr>
              <w:spacing w:before="100" w:after="0"/>
              <w:jc w:val="left"/>
              <w:rPr>
                <w:rFonts w:ascii="TimesNewRoman" w:eastAsia="TimesNewRoman" w:hAnsi="TimesNewRoman" w:cs="TimesNewRoman"/>
                <w:b w:val="0"/>
                <w:i w:val="0"/>
                <w:vanish w:val="0"/>
                <w:color w:val="000000"/>
                <w:sz w:val="24"/>
              </w:rPr>
            </w:pPr>
          </w:p>
          <w:p w:rsidR="00A77B3E">
            <w:pPr>
              <w:spacing w:before="100" w:after="0"/>
              <w:jc w:val="left"/>
              <w:rPr>
                <w:rFonts w:ascii="TimesNewRoman" w:eastAsia="TimesNewRoman" w:hAnsi="TimesNewRoman" w:cs="TimesNewRoman"/>
                <w:b w:val="0"/>
                <w:i w:val="0"/>
                <w:vanish w:val="0"/>
                <w:color w:val="000000"/>
                <w:sz w:val="24"/>
              </w:rPr>
            </w:pPr>
            <w:r>
              <w:rPr>
                <w:rStyle w:val="Strong"/>
                <w:rFonts w:ascii="TimesNewRoman" w:eastAsia="TimesNewRoman" w:hAnsi="TimesNewRoman" w:cs="TimesNewRoman"/>
                <w:b w:val="0"/>
                <w:i w:val="0"/>
                <w:vanish w:val="0"/>
                <w:color w:val="000000"/>
                <w:sz w:val="24"/>
              </w:rPr>
              <w:t>- Obnova in nadgradnja učnih kapacitet Policijske akademije</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Policijska akademija (PA) izvaja programe za usposobljenost, strokovnost in učinkovitost policistov. Obstoječe tehnične kapacitete niso zadostne in ne dosegajo normativov za učne procese izven sistema policije.</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SNV bo uporabljen za obnovo učnih prostorov, izboljšanje tehnične opremljenosti, strežniškega sistema, videokonferenčnih kapacitet za specialistična usposabljanja na daljavo, repozitorija gradiv in dostopa do učnih gradiv na daljavo, itd. To bo izboljšalo kapacitete PA in njeno povezljivost v strokovno mednarodno okolje (CEPOL, MEPA, EUROPOL) in z drugimi deležniki za izvajanje policijskega usposabljanja.</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Pričakovani rezultat: obnovljeni prostori PA in tehnična oprema za sodobne učne procese ter mednarodna povezljivost na področju policijskega usposabljanja.</w:t>
            </w:r>
          </w:p>
          <w:p w:rsidR="00A77B3E">
            <w:pPr>
              <w:spacing w:before="100" w:after="0"/>
              <w:jc w:val="left"/>
              <w:rPr>
                <w:rFonts w:ascii="TimesNewRoman" w:eastAsia="TimesNewRoman" w:hAnsi="TimesNewRoman" w:cs="TimesNewRoman"/>
                <w:b w:val="0"/>
                <w:i w:val="0"/>
                <w:vanish w:val="0"/>
                <w:color w:val="000000"/>
                <w:sz w:val="24"/>
              </w:rPr>
            </w:pPr>
          </w:p>
          <w:p w:rsidR="00A77B3E">
            <w:pPr>
              <w:spacing w:before="100" w:after="0"/>
              <w:jc w:val="left"/>
              <w:rPr>
                <w:rFonts w:ascii="TimesNewRoman" w:eastAsia="TimesNewRoman" w:hAnsi="TimesNewRoman" w:cs="TimesNewRoman"/>
                <w:b w:val="0"/>
                <w:i w:val="0"/>
                <w:vanish w:val="0"/>
                <w:color w:val="000000"/>
                <w:sz w:val="24"/>
              </w:rPr>
            </w:pPr>
            <w:r>
              <w:rPr>
                <w:rStyle w:val="Strong"/>
                <w:rFonts w:ascii="TimesNewRoman" w:eastAsia="TimesNewRoman" w:hAnsi="TimesNewRoman" w:cs="TimesNewRoman"/>
                <w:b w:val="0"/>
                <w:i w:val="0"/>
                <w:vanish w:val="0"/>
                <w:color w:val="000000"/>
                <w:sz w:val="24"/>
              </w:rPr>
              <w:t xml:space="preserve">- Obnova, nadgradnja in izboljšanje opremljenosti obstoječih vadbenih kapacitet za posebne policijske veščine in protiteroristično vadbo </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Policija nima ustreznih specializiranih objektov, vadbenih poligonov, strelišč in zahtevnih vadbenih površin za usposabljanje posebnih enot, zato uporablja vadbišča SI vojske ali se povezuje z drugimi DČ. To ne omogoča dnevnega treninga posebnih enot policije (nujno za izurjenost, opremljenost in hitro posredovanje). Neustreznost prostorov otežuje skupno usposabljanje z drugimi enotami DČ.</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Aktivnosti fin. iz sklada: posodobitev vadbenih površin in poligonov vadbenega centra za visokotehnološko vadbo, urjenje policijskih veščin in psihofizično pripravljenost za boj na blizu. Nabavljena bo tudi tehnična oprema posebnih enot policije za izvedbo usposabljanj.</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Pričakovani rezultat:</w:t>
            </w:r>
            <w:r>
              <w:rPr>
                <w:rStyle w:val="Strong"/>
                <w:rFonts w:ascii="TimesNewRoman" w:eastAsia="TimesNewRoman" w:hAnsi="TimesNewRoman" w:cs="TimesNewRoman"/>
                <w:b w:val="0"/>
                <w:i w:val="0"/>
                <w:vanish w:val="0"/>
                <w:color w:val="000000"/>
                <w:sz w:val="24"/>
              </w:rPr>
              <w:t xml:space="preserve"> </w:t>
            </w:r>
            <w:r>
              <w:rPr>
                <w:rFonts w:ascii="TimesNewRoman" w:eastAsia="TimesNewRoman" w:hAnsi="TimesNewRoman" w:cs="TimesNewRoman"/>
                <w:b w:val="0"/>
                <w:i w:val="0"/>
                <w:vanish w:val="0"/>
                <w:color w:val="000000"/>
                <w:sz w:val="24"/>
              </w:rPr>
              <w:t>obnovljene in nadgrajene obstoječe vadbene kapacitete za vadbo posebnih policijskih veščin.</w:t>
            </w:r>
          </w:p>
          <w:p w:rsidR="00A77B3E">
            <w:pPr>
              <w:spacing w:before="100" w:after="0"/>
              <w:jc w:val="left"/>
              <w:rPr>
                <w:rFonts w:ascii="TimesNewRoman" w:eastAsia="TimesNewRoman" w:hAnsi="TimesNewRoman" w:cs="TimesNewRoman"/>
                <w:b w:val="0"/>
                <w:i w:val="0"/>
                <w:vanish w:val="0"/>
                <w:color w:val="000000"/>
                <w:sz w:val="24"/>
              </w:rPr>
            </w:pPr>
          </w:p>
          <w:p w:rsidR="00A77B3E">
            <w:pPr>
              <w:spacing w:before="100" w:after="0"/>
              <w:jc w:val="left"/>
              <w:rPr>
                <w:rFonts w:ascii="TimesNewRoman" w:eastAsia="TimesNewRoman" w:hAnsi="TimesNewRoman" w:cs="TimesNewRoman"/>
                <w:b w:val="0"/>
                <w:i w:val="0"/>
                <w:vanish w:val="0"/>
                <w:color w:val="000000"/>
                <w:sz w:val="24"/>
              </w:rPr>
            </w:pPr>
            <w:r>
              <w:rPr>
                <w:rStyle w:val="Strong"/>
                <w:rFonts w:ascii="TimesNewRoman" w:eastAsia="TimesNewRoman" w:hAnsi="TimesNewRoman" w:cs="TimesNewRoman"/>
                <w:b w:val="0"/>
                <w:i w:val="0"/>
                <w:vanish w:val="0"/>
                <w:color w:val="000000"/>
                <w:sz w:val="24"/>
              </w:rPr>
              <w:t>-Finančne preiskave in sodelovanje z ARO/AMO</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Odvzem premoženjske koristi je pomemben, predvsem pa zelo učinkovit ukrep v boju zoper najhujše in organizirane oblike kriminalitete, saj je z njim mogoče nevtralizirati osnovni smoter podjetniško organizirane kriminalne dejavnosti, to pa je nezakonito pridobivanje dobička. V zvezi s tem je temeljna naloga policije, da v sodelovanju s pristojnimi državnimi organi zbira dokaze in raziskuje okoliščine, ki so pomembne za ugotavljanje premoženjske koristi, pridobljene s kaznivimi dejanji. Namen izvajanja finančnih preiskav je identifikacija premoženjske koristi, ugotavljanje osumljenčevega premoženja, ki ga je mogoče s sodno odločbo odvzeti. Implementacija direktiv 2024/1260/EU (ARO/AMO) bo omogočila učinkovito iskanje, identifikacijo in upravljanje premoženja. Z uporabo naprednih programskih orodij preiskovalci lahko natančno sledijo denarnim tokovom, prepoznajo omrežja finančnih kriminalcev ter učinkovito iščejo in odvzamejo nezakonito pridobljeno premoženje.</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Predvidene aktivnosti so zaposlitev 4 oseb v policiji za izvajanje ARO nalog in vnosa podatkov v centralno evidenco zaseženega premoženja, ki jo bo vodil AMO; vzpostavitev varne elektronske povezave med Uradom za preprečevanje denarja (UPPD) in policijo za izmenjavo podatkov o sumljivih finančnih transakcijah; nabava programske in strojne opreme za sledenje toku denarja in kriptovalutnim transakcijam.</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Pričakovan rezultat: izboljšati operativno sposobnost policije za učinkovito izvajanje vzporednih finančnih preiskav in posledično zaseg premoženja ter okrepitev sodelovanja z ARO/AMO.</w:t>
            </w:r>
          </w:p>
          <w:p w:rsidR="00A77B3E">
            <w:pPr>
              <w:spacing w:before="100" w:after="0"/>
              <w:jc w:val="left"/>
              <w:rPr>
                <w:rFonts w:ascii="TimesNewRoman" w:eastAsia="TimesNewRoman" w:hAnsi="TimesNewRoman" w:cs="TimesNewRoman"/>
                <w:b w:val="0"/>
                <w:i w:val="0"/>
                <w:vanish w:val="0"/>
                <w:color w:val="000000"/>
                <w:sz w:val="24"/>
              </w:rPr>
            </w:pPr>
          </w:p>
          <w:p w:rsidR="00A77B3E">
            <w:pPr>
              <w:spacing w:before="100" w:after="0"/>
              <w:jc w:val="left"/>
              <w:rPr>
                <w:rFonts w:ascii="TimesNewRoman" w:eastAsia="TimesNewRoman" w:hAnsi="TimesNewRoman" w:cs="TimesNewRoman"/>
                <w:b w:val="0"/>
                <w:i w:val="0"/>
                <w:vanish w:val="0"/>
                <w:color w:val="000000"/>
                <w:sz w:val="24"/>
              </w:rPr>
            </w:pPr>
            <w:r>
              <w:rPr>
                <w:rStyle w:val="Strong"/>
                <w:rFonts w:ascii="TimesNewRoman" w:eastAsia="TimesNewRoman" w:hAnsi="TimesNewRoman" w:cs="TimesNewRoman"/>
                <w:b w:val="0"/>
                <w:i w:val="0"/>
                <w:vanish w:val="0"/>
                <w:color w:val="000000"/>
                <w:sz w:val="24"/>
              </w:rPr>
              <w:t>-Sodelovanje s tretji državami na področju notranje varnosti</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Za Republiko Slovenijo je sodelovanje s tretjimi državami izrednega pomena v boju proti organiziranemu kriminalu in terorizmu. V ta namen ima Republika Slovenija vzpostavljeni sodelovanji s Kraljevino Maroko in Ljudsko demokratično republiko Alžirijo, potekajo pa aktivnosti za sklenitev memoranduma o policijskem sodelovanju z Republiko Irak. Možna je tudi vzpostavitev podobnih načinov sodelovanja z drugimi tretjimi državami (npr. Egiptom, Tunizijo, Indijo, Kitajsko) v obliki dialoga na visoki ravni, srečanj, izmenjav strokovnjakov, in delavnic, v okviru katerih bomo zasledovali naslednje cilje: medinstitucionalno sodelovanje, identificiranje prednostnih področij policijskega sodelovanja, vzpostavitev dvostranskega sodelovanja na področju preprečevanja mednarodnega organiziranega kriminala ter terorizma in boja proti njima, preprečevanje in boj proti tihotapljenju in trgovini z ljudmi.</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V ta namen bodo s Kraljevino Maroko in LDR Alžirijo organizirane tako delavnice in konference kot tudi srečanja in izmenjave strokovnjakov v okviru dialoga na visoki ravni na področju notranje varnosti. Osrednji cilji so izmenjava informacij in dobrih praks na področju notranje varnosti, zlasti mednarodnega organiziranega kriminala, boja proti terorizmu in deradikalizacije; krepitev sodelovanja v boju proti trgovini z ljudmi, sivi ekonomiji; usposabljanje policistov in drugih strokovnjakov na področju ugotavljanja identitete ter preiskave identifikacijskih dokumentov.</w:t>
            </w:r>
          </w:p>
          <w:p w:rsidR="00A77B3E">
            <w:pPr>
              <w:spacing w:before="100" w:after="0"/>
              <w:jc w:val="left"/>
              <w:rPr>
                <w:rFonts w:ascii="TimesNewRoman" w:eastAsia="TimesNewRoman" w:hAnsi="TimesNewRoman" w:cs="TimesNewRoman"/>
                <w:b w:val="0"/>
                <w:i w:val="0"/>
                <w:vanish w:val="0"/>
                <w:color w:val="000000"/>
                <w:sz w:val="24"/>
              </w:rPr>
            </w:pPr>
          </w:p>
          <w:p w:rsidR="00A77B3E">
            <w:pPr>
              <w:spacing w:before="100" w:after="0"/>
              <w:jc w:val="left"/>
              <w:rPr>
                <w:rFonts w:ascii="TimesNewRoman" w:eastAsia="TimesNewRoman" w:hAnsi="TimesNewRoman" w:cs="TimesNewRoman"/>
                <w:b w:val="0"/>
                <w:i w:val="0"/>
                <w:vanish w:val="0"/>
                <w:color w:val="000000"/>
                <w:sz w:val="24"/>
              </w:rPr>
            </w:pPr>
            <w:r>
              <w:rPr>
                <w:rStyle w:val="Strong"/>
                <w:rFonts w:ascii="TimesNewRoman" w:eastAsia="TimesNewRoman" w:hAnsi="TimesNewRoman" w:cs="TimesNewRoman"/>
                <w:b w:val="0"/>
                <w:i w:val="0"/>
                <w:vanish w:val="0"/>
                <w:color w:val="000000"/>
                <w:sz w:val="24"/>
              </w:rPr>
              <w:t xml:space="preserve">2) </w:t>
            </w:r>
            <w:r>
              <w:rPr>
                <w:rStyle w:val="Strong"/>
                <w:rFonts w:ascii="TimesNewRoman" w:eastAsia="TimesNewRoman" w:hAnsi="TimesNewRoman" w:cs="TimesNewRoman"/>
                <w:b w:val="0"/>
                <w:i w:val="0"/>
                <w:vanish w:val="0"/>
                <w:color w:val="000000"/>
                <w:sz w:val="24"/>
                <w:u w:val="single"/>
              </w:rPr>
              <w:t xml:space="preserve">Izvedbeni ukrep 3b:) Oblikovanje sinergij z združevanjem virov in znanja </w:t>
            </w:r>
          </w:p>
          <w:p w:rsidR="00A77B3E">
            <w:pPr>
              <w:spacing w:before="100" w:after="0"/>
              <w:jc w:val="left"/>
              <w:rPr>
                <w:rFonts w:ascii="TimesNewRoman" w:eastAsia="TimesNewRoman" w:hAnsi="TimesNewRoman" w:cs="TimesNewRoman"/>
                <w:b w:val="0"/>
                <w:i w:val="0"/>
                <w:vanish w:val="0"/>
                <w:color w:val="000000"/>
                <w:sz w:val="24"/>
              </w:rPr>
            </w:pPr>
          </w:p>
          <w:p w:rsidR="00A77B3E">
            <w:pPr>
              <w:spacing w:before="100" w:after="0"/>
              <w:jc w:val="left"/>
              <w:rPr>
                <w:rFonts w:ascii="TimesNewRoman" w:eastAsia="TimesNewRoman" w:hAnsi="TimesNewRoman" w:cs="TimesNewRoman"/>
                <w:b w:val="0"/>
                <w:i w:val="0"/>
                <w:vanish w:val="0"/>
                <w:color w:val="000000"/>
                <w:sz w:val="24"/>
              </w:rPr>
            </w:pPr>
            <w:r>
              <w:rPr>
                <w:rStyle w:val="Strong"/>
                <w:rFonts w:ascii="TimesNewRoman" w:eastAsia="TimesNewRoman" w:hAnsi="TimesNewRoman" w:cs="TimesNewRoman"/>
                <w:b w:val="0"/>
                <w:i w:val="0"/>
                <w:vanish w:val="0"/>
                <w:color w:val="000000"/>
                <w:sz w:val="24"/>
              </w:rPr>
              <w:t>- Preprečevanje radikalizacije, RAN platforma (fin. 90%)</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Vlada SI je 5.12.2019 sprejela Nacionalno strategijo za preprečevanje terorizma in nasilnega ekstremizma št. 22100-2/2019/4, za preprečevanje radikalizacije, ki vodi v nasilni ekstremizem in terorizem. 5.3.2020 je sprejela sklep o ustanovitvi Medresorske delovne skupine za preprečevanje radikalizacije št. 01201-3/2020/4, ki je pripravila Akcijski načrt za preprečevanje radikalizacije, v okviru Akcijskega načrta za preprečevanje terorizma in nasilnega ekstremizma 2021-2023, ki ga je potrebno še sprejeti. Deluje skladno s Strategijo EU proti radikalizaciji in novačenju (CS/2008/15175) ter Smernicami Sveta za strategijo EU za boj proti radikalizaciji in novačenju teroristov (13469/1/14, rev.1).</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Izziv v prvi fazi je določitev skupin, na katere imajo prepoznani kazalniki radikalizacije (različni osebnostni, družbeni vzroki) večji vpliv. Akcijski načrt bo opredelil splošne ukrepe za preprečevanje radikalizacije in posamezne institucije za njihovo izvajanje. Predvideva se aktivnosti za preventivno delovanje na področju preprečevanja radikalizacije.</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Predvidene aktivnosti:</w:t>
            </w:r>
          </w:p>
          <w:p w:rsidR="00A77B3E">
            <w:pPr>
              <w:numPr>
                <w:ilvl w:val="0"/>
                <w:numId w:val="10"/>
              </w:numPr>
              <w:spacing w:before="100" w:after="0"/>
              <w:ind w:left="720" w:hanging="36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Ozaveščanje in izobraževanje zaposlenih v državnih organih o pojavu radikalizacije ter preventivnih aktivnostih</w:t>
            </w:r>
          </w:p>
          <w:p w:rsidR="00A77B3E">
            <w:pPr>
              <w:numPr>
                <w:ilvl w:val="0"/>
                <w:numId w:val="10"/>
              </w:numPr>
              <w:spacing w:before="100" w:after="0"/>
              <w:ind w:left="720" w:hanging="36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Izmenjava dobrih praks, izkušenj in znanj z medn. organizacijami</w:t>
            </w:r>
          </w:p>
          <w:p w:rsidR="00A77B3E">
            <w:pPr>
              <w:numPr>
                <w:ilvl w:val="0"/>
                <w:numId w:val="10"/>
              </w:numPr>
              <w:spacing w:before="100" w:after="0"/>
              <w:ind w:left="720" w:hanging="36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Priprava posvetov in informacijskega gradiva</w:t>
            </w:r>
          </w:p>
          <w:p w:rsidR="00A77B3E">
            <w:pPr>
              <w:numPr>
                <w:ilvl w:val="0"/>
                <w:numId w:val="10"/>
              </w:numPr>
              <w:spacing w:before="100" w:after="0"/>
              <w:ind w:left="720" w:hanging="36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Okrepitev vse-skupnostnega sodelovanja v sklopu predsedovanja nacionalni mreži za preprečevanje radikalizacije, izboljšana proaktivnost, krepitev mednarodnega sodelovanja v sklopu mreže nacionalnih protiterorističnih enot (CTI) z EU in z regijo JVE z namenom pravočasnega odkrivanja in preprečevanja terorističnih in drugih kriznih situacij</w:t>
            </w:r>
          </w:p>
          <w:p w:rsidR="00A77B3E">
            <w:pPr>
              <w:numPr>
                <w:ilvl w:val="0"/>
                <w:numId w:val="10"/>
              </w:numPr>
              <w:spacing w:before="100" w:after="0"/>
              <w:ind w:left="720" w:hanging="36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Zaščita kibernetskega prostora pred terorističnimi aktivnostmi – sodelovanje v platformi PERCI [</w:t>
            </w:r>
            <w:r>
              <w:rPr>
                <w:rStyle w:val="Emphasis"/>
                <w:rFonts w:ascii="TimesNewRoman" w:eastAsia="TimesNewRoman" w:hAnsi="TimesNewRoman" w:cs="TimesNewRoman"/>
                <w:b w:val="0"/>
                <w:i w:val="0"/>
                <w:vanish w:val="0"/>
                <w:color w:val="000000"/>
                <w:sz w:val="24"/>
              </w:rPr>
              <w:t>Plateforme Européenne de Retraits de Contenus illicites sur Internet</w:t>
            </w:r>
            <w:r>
              <w:rPr>
                <w:rFonts w:ascii="TimesNewRoman" w:eastAsia="TimesNewRoman" w:hAnsi="TimesNewRoman" w:cs="TimesNewRoman"/>
                <w:b w:val="0"/>
                <w:i w:val="0"/>
                <w:vanish w:val="0"/>
                <w:color w:val="000000"/>
                <w:sz w:val="24"/>
              </w:rPr>
              <w:t>]</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Pričakovani rezultat: vzpostavljene kapacitete za prepoznavo in preprečevanje radikalizacije, zmanjšanje možnosti za pojav nasilnih, terorističnih in drugih KD, povečanje možnosti, da se potencialno tvegane posameznike oziroma skupine s preventivnimi ukrepi odvrne od teh dejanj.</w:t>
            </w:r>
          </w:p>
          <w:p w:rsidR="00A77B3E">
            <w:pPr>
              <w:spacing w:before="100" w:after="0"/>
              <w:jc w:val="left"/>
              <w:rPr>
                <w:rFonts w:ascii="TimesNewRoman" w:eastAsia="TimesNewRoman" w:hAnsi="TimesNewRoman" w:cs="TimesNewRoman"/>
                <w:b w:val="0"/>
                <w:i w:val="0"/>
                <w:vanish w:val="0"/>
                <w:color w:val="000000"/>
                <w:sz w:val="24"/>
              </w:rPr>
            </w:pP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 xml:space="preserve">- </w:t>
            </w:r>
            <w:r>
              <w:rPr>
                <w:rStyle w:val="Strong"/>
                <w:rFonts w:ascii="TimesNewRoman" w:eastAsia="TimesNewRoman" w:hAnsi="TimesNewRoman" w:cs="TimesNewRoman"/>
                <w:b w:val="0"/>
                <w:i w:val="0"/>
                <w:vanish w:val="0"/>
                <w:color w:val="000000"/>
                <w:sz w:val="24"/>
              </w:rPr>
              <w:t>Usposabljanja za krepitev boja proti hudim in organiziranim oblikam kriminala in terorizma</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Za okrepitev boja proti kriminalu je potrebno zagotavljati stalno usposabljanje in izpopolnjevanje na področju boja proti oblikam organiziranega čezmejnega kriminala, terorizma in nasilne radikalizacije za policiste, ki preiskujejo organiziran kriminal, huda KD in terorizem. Potrebno je usposabljanje za boj proti terorizmu, delo s strokovnjaki za preprečevanje radikalizacije in prenos dobrih praks EU na nacionalno raven. Pozornost bo posvečena usposabljanju na področju mednarodnega policijskega sodelovanja, zlasti z EUROPOL.</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Pričakovani rezultat: vzpostavljene kapacitete za uspešen boj proti različnim oblikam organiziranega kriminala, terorizma in nasilne radikalizacije in nacionalne platforme RAN.</w:t>
            </w:r>
          </w:p>
          <w:p w:rsidR="00A77B3E">
            <w:pPr>
              <w:spacing w:before="100" w:after="0"/>
              <w:jc w:val="left"/>
              <w:rPr>
                <w:rFonts w:ascii="TimesNewRoman" w:eastAsia="TimesNewRoman" w:hAnsi="TimesNewRoman" w:cs="TimesNewRoman"/>
                <w:b w:val="0"/>
                <w:i w:val="0"/>
                <w:vanish w:val="0"/>
                <w:color w:val="000000"/>
                <w:sz w:val="24"/>
              </w:rPr>
            </w:pPr>
          </w:p>
          <w:p w:rsidR="00A77B3E">
            <w:pPr>
              <w:spacing w:before="100" w:after="0"/>
              <w:jc w:val="left"/>
              <w:rPr>
                <w:rFonts w:ascii="TimesNewRoman" w:eastAsia="TimesNewRoman" w:hAnsi="TimesNewRoman" w:cs="TimesNewRoman"/>
                <w:b w:val="0"/>
                <w:i w:val="0"/>
                <w:vanish w:val="0"/>
                <w:color w:val="000000"/>
                <w:sz w:val="24"/>
              </w:rPr>
            </w:pPr>
            <w:r>
              <w:rPr>
                <w:rStyle w:val="Strong"/>
                <w:rFonts w:ascii="TimesNewRoman" w:eastAsia="TimesNewRoman" w:hAnsi="TimesNewRoman" w:cs="TimesNewRoman"/>
                <w:b w:val="0"/>
                <w:i w:val="0"/>
                <w:vanish w:val="0"/>
                <w:color w:val="000000"/>
                <w:sz w:val="24"/>
              </w:rPr>
              <w:t xml:space="preserve">3) </w:t>
            </w:r>
            <w:r>
              <w:rPr>
                <w:rStyle w:val="Strong"/>
                <w:rFonts w:ascii="TimesNewRoman" w:eastAsia="TimesNewRoman" w:hAnsi="TimesNewRoman" w:cs="TimesNewRoman"/>
                <w:b w:val="0"/>
                <w:i w:val="0"/>
                <w:vanish w:val="0"/>
                <w:color w:val="000000"/>
                <w:sz w:val="24"/>
                <w:u w:val="single"/>
              </w:rPr>
              <w:t>Izvedbeni ukrep 3c): Zgodnje prepoznavanje, zaščita in podpora prič, žvižgačev in žrtev kaznivih dejanj</w:t>
            </w:r>
          </w:p>
          <w:p w:rsidR="00A77B3E">
            <w:pPr>
              <w:spacing w:before="100" w:after="0"/>
              <w:jc w:val="left"/>
              <w:rPr>
                <w:rFonts w:ascii="TimesNewRoman" w:eastAsia="TimesNewRoman" w:hAnsi="TimesNewRoman" w:cs="TimesNewRoman"/>
                <w:b w:val="0"/>
                <w:i w:val="0"/>
                <w:vanish w:val="0"/>
                <w:color w:val="000000"/>
                <w:sz w:val="24"/>
              </w:rPr>
            </w:pP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 xml:space="preserve">- </w:t>
            </w:r>
            <w:r>
              <w:rPr>
                <w:rStyle w:val="Strong"/>
                <w:rFonts w:ascii="TimesNewRoman" w:eastAsia="TimesNewRoman" w:hAnsi="TimesNewRoman" w:cs="TimesNewRoman"/>
                <w:b w:val="0"/>
                <w:i w:val="0"/>
                <w:vanish w:val="0"/>
                <w:color w:val="000000"/>
                <w:sz w:val="24"/>
              </w:rPr>
              <w:t>Učinkovita zaščita prič in žvižgačev</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 xml:space="preserve">Po Zakonu o </w:t>
            </w:r>
            <w:r>
              <w:rPr>
                <w:rStyle w:val="Strong"/>
                <w:rFonts w:ascii="TimesNewRoman" w:eastAsia="TimesNewRoman" w:hAnsi="TimesNewRoman" w:cs="TimesNewRoman"/>
                <w:b w:val="0"/>
                <w:i w:val="0"/>
                <w:vanish w:val="0"/>
                <w:color w:val="000000"/>
                <w:sz w:val="24"/>
              </w:rPr>
              <w:t>zaščiti prič</w:t>
            </w:r>
            <w:r>
              <w:rPr>
                <w:rFonts w:ascii="TimesNewRoman" w:eastAsia="TimesNewRoman" w:hAnsi="TimesNewRoman" w:cs="TimesNewRoman"/>
                <w:b w:val="0"/>
                <w:i w:val="0"/>
                <w:vanish w:val="0"/>
                <w:color w:val="000000"/>
                <w:sz w:val="24"/>
              </w:rPr>
              <w:t xml:space="preserve"> se zaščita ogroženim osebam in </w:t>
            </w:r>
            <w:r>
              <w:rPr>
                <w:rStyle w:val="Strong"/>
                <w:rFonts w:ascii="TimesNewRoman" w:eastAsia="TimesNewRoman" w:hAnsi="TimesNewRoman" w:cs="TimesNewRoman"/>
                <w:b w:val="0"/>
                <w:i w:val="0"/>
                <w:vanish w:val="0"/>
                <w:color w:val="000000"/>
                <w:sz w:val="24"/>
              </w:rPr>
              <w:t>žvižgačem</w:t>
            </w:r>
            <w:r>
              <w:rPr>
                <w:rFonts w:ascii="TimesNewRoman" w:eastAsia="TimesNewRoman" w:hAnsi="TimesNewRoman" w:cs="TimesNewRoman"/>
                <w:b w:val="0"/>
                <w:i w:val="0"/>
                <w:vanish w:val="0"/>
                <w:color w:val="000000"/>
                <w:sz w:val="24"/>
              </w:rPr>
              <w:t xml:space="preserve"> zagotavlja pred, med in po kazenskem postopku. SI zavezuje ukrep mednarodne izmenjave zaščitenih oseb, za katere je komisija določila ukrep preselitve. Ta se izvaja z državami pogodbenicami medn. pogodb, ki določajo tudi izmenjavo in zaščito ogroženih oseb.</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Izziv: zagotoviti visoko raven zaščite prič in žvižgačev.</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SNV bo podpiral nakup zaščitne, posebne opreme ter ustreznih vozil za izvajanje zaščitnih ukrepov, preselitev oseb v druge države za zagotavljanje njihove varnosti in usposabljanja za delo z visoko ogroženimi osebami.</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Pričakovani rezultat: učinkovita zaščita prič in žvižgačev na nacionalni ravni in v mednarodnem kontekstu.</w:t>
            </w:r>
          </w:p>
          <w:p w:rsidR="00A77B3E">
            <w:pPr>
              <w:spacing w:before="100" w:after="0"/>
              <w:jc w:val="left"/>
              <w:rPr>
                <w:rFonts w:ascii="TimesNewRoman" w:eastAsia="TimesNewRoman" w:hAnsi="TimesNewRoman" w:cs="TimesNewRoman"/>
                <w:b w:val="0"/>
                <w:i w:val="0"/>
                <w:vanish w:val="0"/>
                <w:color w:val="000000"/>
                <w:sz w:val="24"/>
              </w:rPr>
            </w:pPr>
          </w:p>
          <w:p w:rsidR="00A77B3E">
            <w:pPr>
              <w:spacing w:before="100" w:after="0"/>
              <w:jc w:val="left"/>
              <w:rPr>
                <w:rFonts w:ascii="TimesNewRoman" w:eastAsia="TimesNewRoman" w:hAnsi="TimesNewRoman" w:cs="TimesNewRoman"/>
                <w:b w:val="0"/>
                <w:i w:val="0"/>
                <w:vanish w:val="0"/>
                <w:color w:val="000000"/>
                <w:sz w:val="24"/>
              </w:rPr>
            </w:pPr>
            <w:r>
              <w:rPr>
                <w:rStyle w:val="Strong"/>
                <w:rFonts w:ascii="TimesNewRoman" w:eastAsia="TimesNewRoman" w:hAnsi="TimesNewRoman" w:cs="TimesNewRoman"/>
                <w:b w:val="0"/>
                <w:i w:val="0"/>
                <w:vanish w:val="0"/>
                <w:color w:val="000000"/>
                <w:sz w:val="24"/>
              </w:rPr>
              <w:t>- Zaščita žrtev trgovine z ljudmi in reintegracija</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 xml:space="preserve">V Sl je najpogosteje zaznano spolno izkoriščanje žrtev trgovine z ljudmi. V 2019 – 2020 je bil iz ISF-P fin. program </w:t>
            </w:r>
            <w:r>
              <w:rPr>
                <w:rStyle w:val="Emphasis"/>
                <w:rFonts w:ascii="TimesNewRoman" w:eastAsia="TimesNewRoman" w:hAnsi="TimesNewRoman" w:cs="TimesNewRoman"/>
                <w:b w:val="0"/>
                <w:i w:val="0"/>
                <w:vanish w:val="0"/>
                <w:color w:val="000000"/>
                <w:sz w:val="24"/>
              </w:rPr>
              <w:t>Reintegracija žrtev trgovine z ljudmi</w:t>
            </w:r>
            <w:r>
              <w:rPr>
                <w:rFonts w:ascii="TimesNewRoman" w:eastAsia="TimesNewRoman" w:hAnsi="TimesNewRoman" w:cs="TimesNewRoman"/>
                <w:b w:val="0"/>
                <w:i w:val="0"/>
                <w:vanish w:val="0"/>
                <w:color w:val="000000"/>
                <w:sz w:val="24"/>
              </w:rPr>
              <w:t xml:space="preserve"> in načrtuje se nadaljevanje. Program je skladen z Direktivo 2011/36 in Strategijo EU proti trgovini z ljudmi (2021-2025). Mogoče ga je povezati s skupnim horizontalnim strateškim ciljem (CHSG) splošnega večletnega strateškega načrta (MASP) </w:t>
            </w:r>
            <w:r>
              <w:rPr>
                <w:rStyle w:val="Emphasis"/>
                <w:rFonts w:ascii="TimesNewRoman" w:eastAsia="TimesNewRoman" w:hAnsi="TimesNewRoman" w:cs="TimesNewRoman"/>
                <w:b w:val="0"/>
                <w:i w:val="0"/>
                <w:vanish w:val="0"/>
                <w:color w:val="000000"/>
                <w:sz w:val="24"/>
              </w:rPr>
              <w:t>Preprečevanje, ozaveščanje in zmanjševanje škode, zgodnje prepoznavanje in pomoč žrtvam</w:t>
            </w:r>
            <w:r>
              <w:rPr>
                <w:rFonts w:ascii="TimesNewRoman" w:eastAsia="TimesNewRoman" w:hAnsi="TimesNewRoman" w:cs="TimesNewRoman"/>
                <w:b w:val="0"/>
                <w:i w:val="0"/>
                <w:vanish w:val="0"/>
                <w:color w:val="000000"/>
                <w:sz w:val="24"/>
              </w:rPr>
              <w:t xml:space="preserve"> v okviru cikla EMPACT 2022-2025.</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Cilj je zagotovitev reintegracije vsem žrtvam trgovine z ljudmi, prepoznanih v SI.</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Aktivnosti: nadaljnje izvajanje programa Reintegracije žrtev trgovine z ljudmi (4. člen Zakona o ratifikaciji Konvencije Sveta Evrope o ukrepanju proti trgovini z ljudmi), kjer sodelujeta policija in nevladne organizacije. Gre za pomoč nudenja namestitve in pri iskanju zaposlitve, psihosocialno svetovanje, usposabljanje za uspešno vključevanje v družbo. Nadaljevanje financiranja programa Oskrba žrtev trgovine z ljudmi - varni prostor. Gre za program kjer se nudi dolgotrajnejša pomoč, oskrba in namestitev, vključno z zagotavljanem celovite trajne pomoči in podpore otrokom z izkušnjo trgovine z ljudmi. Financiranje delovanja Mreže nacionalnih koordinatorjev za boj proti trgovini z ljudmi jugovzhodne Evrope. Financiranje konferenc, izmenjave praks, delavnic in kampanj za ozaveščanje za osebe, ki se delujejo na področju preprečevanja in boju proti trgovini z ljudmi.</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Pričakovani rezultat:</w:t>
            </w:r>
            <w:r>
              <w:rPr>
                <w:rStyle w:val="Strong"/>
                <w:rFonts w:ascii="TimesNewRoman" w:eastAsia="TimesNewRoman" w:hAnsi="TimesNewRoman" w:cs="TimesNewRoman"/>
                <w:b w:val="0"/>
                <w:i w:val="0"/>
                <w:vanish w:val="0"/>
                <w:color w:val="000000"/>
                <w:sz w:val="24"/>
              </w:rPr>
              <w:t xml:space="preserve"> </w:t>
            </w:r>
            <w:r>
              <w:rPr>
                <w:rFonts w:ascii="TimesNewRoman" w:eastAsia="TimesNewRoman" w:hAnsi="TimesNewRoman" w:cs="TimesNewRoman"/>
                <w:b w:val="0"/>
                <w:i w:val="0"/>
                <w:vanish w:val="0"/>
                <w:color w:val="000000"/>
                <w:sz w:val="24"/>
              </w:rPr>
              <w:t>zagotovitev zaščite za žrtve trgovine z ljudmi ter izvajanja programa reintegracije. Zagotovitev rednih srečanj Mreže, ki prispevajo k krepitvi sodelovanja in izmenjavi informacij med državami članicami EU in tretjimi državami. Izboljšanje kompetenc za opravljanje delovnih nalog s področja trgovine z ljudmi.</w:t>
            </w:r>
          </w:p>
          <w:p w:rsidR="00A77B3E">
            <w:pPr>
              <w:spacing w:before="100" w:after="0"/>
              <w:jc w:val="left"/>
              <w:rPr>
                <w:rFonts w:ascii="TimesNewRoman" w:eastAsia="TimesNewRoman" w:hAnsi="TimesNewRoman" w:cs="TimesNewRoman"/>
                <w:b w:val="0"/>
                <w:i w:val="0"/>
                <w:vanish w:val="0"/>
                <w:color w:val="000000"/>
                <w:sz w:val="24"/>
              </w:rPr>
            </w:pPr>
          </w:p>
          <w:p w:rsidR="00A77B3E">
            <w:pPr>
              <w:spacing w:before="100" w:after="0"/>
              <w:jc w:val="left"/>
              <w:rPr>
                <w:rFonts w:ascii="TimesNewRoman" w:eastAsia="TimesNewRoman" w:hAnsi="TimesNewRoman" w:cs="TimesNewRoman"/>
                <w:b w:val="0"/>
                <w:i w:val="0"/>
                <w:vanish w:val="0"/>
                <w:color w:val="000000"/>
                <w:sz w:val="24"/>
              </w:rPr>
            </w:pPr>
            <w:r>
              <w:rPr>
                <w:rStyle w:val="Strong"/>
                <w:rFonts w:ascii="TimesNewRoman" w:eastAsia="TimesNewRoman" w:hAnsi="TimesNewRoman" w:cs="TimesNewRoman"/>
                <w:b w:val="0"/>
                <w:i w:val="0"/>
                <w:vanish w:val="0"/>
                <w:color w:val="000000"/>
                <w:sz w:val="24"/>
              </w:rPr>
              <w:t xml:space="preserve">4) </w:t>
            </w:r>
            <w:r>
              <w:rPr>
                <w:rStyle w:val="Strong"/>
                <w:rFonts w:ascii="TimesNewRoman" w:eastAsia="TimesNewRoman" w:hAnsi="TimesNewRoman" w:cs="TimesNewRoman"/>
                <w:b w:val="0"/>
                <w:i w:val="0"/>
                <w:vanish w:val="0"/>
                <w:color w:val="000000"/>
                <w:sz w:val="24"/>
                <w:u w:val="single"/>
              </w:rPr>
              <w:t>Izvedbeni ukrep 3d): Odziv na varnostne grožnje</w:t>
            </w:r>
          </w:p>
          <w:p w:rsidR="00A77B3E">
            <w:pPr>
              <w:spacing w:before="100" w:after="0"/>
              <w:jc w:val="left"/>
              <w:rPr>
                <w:rFonts w:ascii="TimesNewRoman" w:eastAsia="TimesNewRoman" w:hAnsi="TimesNewRoman" w:cs="TimesNewRoman"/>
                <w:b w:val="0"/>
                <w:i w:val="0"/>
                <w:vanish w:val="0"/>
                <w:color w:val="000000"/>
                <w:sz w:val="24"/>
              </w:rPr>
            </w:pPr>
          </w:p>
          <w:p w:rsidR="00A77B3E">
            <w:pPr>
              <w:spacing w:before="100" w:after="0"/>
              <w:jc w:val="left"/>
              <w:rPr>
                <w:rFonts w:ascii="TimesNewRoman" w:eastAsia="TimesNewRoman" w:hAnsi="TimesNewRoman" w:cs="TimesNewRoman"/>
                <w:b w:val="0"/>
                <w:i w:val="0"/>
                <w:vanish w:val="0"/>
                <w:color w:val="000000"/>
                <w:sz w:val="24"/>
              </w:rPr>
            </w:pPr>
            <w:r>
              <w:rPr>
                <w:rStyle w:val="Strong"/>
                <w:rFonts w:ascii="TimesNewRoman" w:eastAsia="TimesNewRoman" w:hAnsi="TimesNewRoman" w:cs="TimesNewRoman"/>
                <w:b w:val="0"/>
                <w:i w:val="0"/>
                <w:vanish w:val="0"/>
                <w:color w:val="000000"/>
                <w:sz w:val="24"/>
              </w:rPr>
              <w:t xml:space="preserve">- Razvoj in izboljšanje analitsko preiskovalnih sistemov za potrebe kazenskega pregona </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Policija nima informacijske rešitve za upravljanje primerov "</w:t>
            </w:r>
            <w:r>
              <w:rPr>
                <w:rStyle w:val="Emphasis"/>
                <w:rFonts w:ascii="TimesNewRoman" w:eastAsia="TimesNewRoman" w:hAnsi="TimesNewRoman" w:cs="TimesNewRoman"/>
                <w:b w:val="0"/>
                <w:i w:val="0"/>
                <w:vanish w:val="0"/>
                <w:color w:val="000000"/>
                <w:sz w:val="24"/>
              </w:rPr>
              <w:t>case management"</w:t>
            </w:r>
            <w:r>
              <w:rPr>
                <w:rFonts w:ascii="TimesNewRoman" w:eastAsia="TimesNewRoman" w:hAnsi="TimesNewRoman" w:cs="TimesNewRoman"/>
                <w:b w:val="0"/>
                <w:i w:val="0"/>
                <w:vanish w:val="0"/>
                <w:color w:val="000000"/>
                <w:sz w:val="24"/>
              </w:rPr>
              <w:t xml:space="preserve"> za enoten dostop do zbranih podatkov. Prve rešitve v policiji niso bile namenjene </w:t>
            </w:r>
            <w:r>
              <w:rPr>
                <w:rStyle w:val="Strong"/>
                <w:rFonts w:ascii="TimesNewRoman" w:eastAsia="TimesNewRoman" w:hAnsi="TimesNewRoman" w:cs="TimesNewRoman"/>
                <w:b w:val="0"/>
                <w:i w:val="0"/>
                <w:vanish w:val="0"/>
                <w:color w:val="000000"/>
                <w:sz w:val="24"/>
              </w:rPr>
              <w:t>poglobljenim analizam v smeri ILP (Intelligence-Led Policing) in POP (Problem-Oriented Policing)</w:t>
            </w:r>
            <w:r>
              <w:rPr>
                <w:rFonts w:ascii="TimesNewRoman" w:eastAsia="TimesNewRoman" w:hAnsi="TimesNewRoman" w:cs="TimesNewRoman"/>
                <w:b w:val="0"/>
                <w:i w:val="0"/>
                <w:vanish w:val="0"/>
                <w:color w:val="000000"/>
                <w:sz w:val="24"/>
              </w:rPr>
              <w:t>, ampak le vnosu strukturiranih podatkov in nestrukturiranih obrazcev v raznovrstne zbirke.</w:t>
            </w:r>
          </w:p>
          <w:p w:rsidR="00A77B3E">
            <w:pPr>
              <w:spacing w:before="100" w:after="0"/>
              <w:jc w:val="left"/>
              <w:rPr>
                <w:rFonts w:ascii="TimesNewRoman" w:eastAsia="TimesNewRoman" w:hAnsi="TimesNewRoman" w:cs="TimesNewRoman"/>
                <w:b w:val="0"/>
                <w:i w:val="0"/>
                <w:vanish w:val="0"/>
                <w:color w:val="000000"/>
                <w:sz w:val="24"/>
              </w:rPr>
            </w:pP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Izboljšanje je potrebno za pridobivanje in izmenjavo informacij z DČ, obdelavo in analize vedno večjih količin podatkov, pridobljenih v okviru mednarodnih sodelovanj in lastnih dejavnosti, ki se nanašajo na nove oblike terorizma in kriminala ter so povezane z nedovoljenim trgovanjem na temnem spletu, transakcijami v kripto valutah, spolno zlorabo otrok na spletu, CaaS “Crime as a Service”, kibernetskim kriminalom, ipd. Pri tem bo velik poudarek namenjen zagotavljanju informacijsko kibernetske varnosti informacijskim rešitvam policijskega informacijskega sistema za operativno analitiko.</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Izzivi in aktivnosti:</w:t>
            </w:r>
          </w:p>
          <w:p w:rsidR="00A77B3E">
            <w:pPr>
              <w:numPr>
                <w:ilvl w:val="0"/>
                <w:numId w:val="11"/>
              </w:numPr>
              <w:spacing w:before="100" w:after="0"/>
              <w:ind w:left="720" w:hanging="36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Zagotavljanje rešitev za analiziranje in pregledovanje velikih količin multimedijskih vsebine</w:t>
            </w:r>
          </w:p>
          <w:p w:rsidR="00A77B3E">
            <w:pPr>
              <w:numPr>
                <w:ilvl w:val="0"/>
                <w:numId w:val="11"/>
              </w:numPr>
              <w:spacing w:before="100" w:after="0"/>
              <w:ind w:left="720" w:hanging="36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izboljšanje sistemov za iskanje koristnih informacij v zaseženih in javno dostopnih podatkih</w:t>
            </w:r>
          </w:p>
          <w:p w:rsidR="00A77B3E">
            <w:pPr>
              <w:numPr>
                <w:ilvl w:val="0"/>
                <w:numId w:val="11"/>
              </w:numPr>
              <w:spacing w:before="100" w:after="0"/>
              <w:ind w:left="720" w:hanging="36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Etična implementacija naprednih analitskih pristopov, ki vključujejo tehnike umetne inteligence in naprednih vizualizacij podatkov</w:t>
            </w:r>
          </w:p>
          <w:p w:rsidR="00A77B3E">
            <w:pPr>
              <w:numPr>
                <w:ilvl w:val="0"/>
                <w:numId w:val="11"/>
              </w:numPr>
              <w:spacing w:before="100" w:after="0"/>
              <w:ind w:left="720" w:hanging="36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Zagotavljanje informacijsko kibernetske varnosti sistemov za varno pregledovanje in analiziranje operativnih analitičnih vsebin</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·Vpeljava varnostnih mehanizmov, ki omogočajo zoperstavljanje kibernetskim grožnjam ter zgotavljajo varovanje informacijskih sistemov</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Dejavnosti SNV: nabava programske in strojne opreme za razvoj in izboljšanje analitičnih preiskovalnih sistemov, ki podpirajo ILP in POP za namene kazenskega pregona.</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Pričakovani rezultati:</w:t>
            </w:r>
          </w:p>
          <w:p w:rsidR="00A77B3E">
            <w:pPr>
              <w:numPr>
                <w:ilvl w:val="0"/>
                <w:numId w:val="12"/>
              </w:numPr>
              <w:spacing w:before="100" w:after="0"/>
              <w:ind w:left="720" w:hanging="36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Izboljšanje analitsko preiskovalnih zmogljivosti policije za potrebe kazenskega pregona in posledično učinkovitost na tem področju</w:t>
            </w:r>
          </w:p>
          <w:p w:rsidR="00A77B3E">
            <w:pPr>
              <w:numPr>
                <w:ilvl w:val="0"/>
                <w:numId w:val="12"/>
              </w:numPr>
              <w:spacing w:before="100" w:after="0"/>
              <w:ind w:left="720" w:hanging="36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Možnost analize velike količine kompleksnih elektronskih podatkov</w:t>
            </w:r>
          </w:p>
          <w:p w:rsidR="00A77B3E">
            <w:pPr>
              <w:numPr>
                <w:ilvl w:val="0"/>
                <w:numId w:val="12"/>
              </w:numPr>
              <w:spacing w:before="100" w:after="0"/>
              <w:ind w:left="720" w:hanging="36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Izboljšanje in dvig nivoja informacijsko kibernetske varnosti analitskih sistemov za pregledovanje in analiziranje kompleksnih podatkov.</w:t>
            </w:r>
          </w:p>
          <w:p w:rsidR="00A77B3E">
            <w:pPr>
              <w:spacing w:before="100" w:after="0"/>
              <w:jc w:val="left"/>
              <w:rPr>
                <w:rFonts w:ascii="TimesNewRoman" w:eastAsia="TimesNewRoman" w:hAnsi="TimesNewRoman" w:cs="TimesNewRoman"/>
                <w:b w:val="0"/>
                <w:i w:val="0"/>
                <w:vanish w:val="0"/>
                <w:color w:val="000000"/>
                <w:sz w:val="24"/>
              </w:rPr>
            </w:pPr>
          </w:p>
          <w:p w:rsidR="00A77B3E">
            <w:pPr>
              <w:spacing w:before="100" w:after="0"/>
              <w:jc w:val="left"/>
              <w:rPr>
                <w:rFonts w:ascii="TimesNewRoman" w:eastAsia="TimesNewRoman" w:hAnsi="TimesNewRoman" w:cs="TimesNewRoman"/>
                <w:b w:val="0"/>
                <w:i w:val="0"/>
                <w:vanish w:val="0"/>
                <w:color w:val="000000"/>
                <w:sz w:val="24"/>
              </w:rPr>
            </w:pPr>
            <w:r>
              <w:rPr>
                <w:rStyle w:val="Strong"/>
                <w:rFonts w:ascii="TimesNewRoman" w:eastAsia="TimesNewRoman" w:hAnsi="TimesNewRoman" w:cs="TimesNewRoman"/>
                <w:b w:val="0"/>
                <w:i w:val="0"/>
                <w:vanish w:val="0"/>
                <w:color w:val="000000"/>
                <w:sz w:val="24"/>
              </w:rPr>
              <w:t>- GIS - nadgradnja geografskih sistemov za izboljšanje operativne sposobnosti in orientacijo policije na terenu</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Zaradi neustreznih geografskih sistemov je koordinacija policijskega dela na terenu otežena, zato je izziv vzpostavitev enotnega sistema.</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Ključne aktivnosti:</w:t>
            </w:r>
          </w:p>
          <w:p w:rsidR="00A77B3E">
            <w:pPr>
              <w:numPr>
                <w:ilvl w:val="0"/>
                <w:numId w:val="13"/>
              </w:numPr>
              <w:spacing w:before="100" w:after="0"/>
              <w:ind w:left="720" w:hanging="36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Prenova obstoječih aplikacij za nov nacionalni koordinatni sistem</w:t>
            </w:r>
          </w:p>
          <w:p w:rsidR="00A77B3E">
            <w:pPr>
              <w:numPr>
                <w:ilvl w:val="0"/>
                <w:numId w:val="13"/>
              </w:numPr>
              <w:spacing w:before="100" w:after="0"/>
              <w:ind w:left="720" w:hanging="36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Poenotenje sistemov GPS AVL z novim GIS (ArcGIS)</w:t>
            </w:r>
          </w:p>
          <w:p w:rsidR="00A77B3E">
            <w:pPr>
              <w:numPr>
                <w:ilvl w:val="0"/>
                <w:numId w:val="13"/>
              </w:numPr>
              <w:spacing w:before="100" w:after="0"/>
              <w:ind w:left="720" w:hanging="36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Izdelava geografskih rešitev za podporo operativnemu delu policistov</w:t>
            </w:r>
          </w:p>
          <w:p w:rsidR="00A77B3E">
            <w:pPr>
              <w:numPr>
                <w:ilvl w:val="0"/>
                <w:numId w:val="13"/>
              </w:numPr>
              <w:spacing w:before="100" w:after="0"/>
              <w:ind w:left="720" w:hanging="36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Nova programska orodja, nadgradnja strežniških sistemov in izdelava mobilnih rešitev GIS</w:t>
            </w:r>
          </w:p>
          <w:p w:rsidR="00A77B3E">
            <w:pPr>
              <w:numPr>
                <w:ilvl w:val="0"/>
                <w:numId w:val="13"/>
              </w:numPr>
              <w:spacing w:before="100" w:after="0"/>
              <w:ind w:left="720" w:hanging="36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Prilagoditev aplikacije za vodenje in poveljevanje</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Pričakovani rezultat: izboljšana operativna sposobnost za orientacijo na terenu, učinkovito prijemanje storilcev najhujših KD, preprečevanje čezmejne kriminalitete in krepitev regijskega policijskega sodelovanja na terenu.</w:t>
            </w:r>
          </w:p>
          <w:p w:rsidR="00A77B3E">
            <w:pPr>
              <w:spacing w:before="100" w:after="0"/>
              <w:jc w:val="left"/>
              <w:rPr>
                <w:rFonts w:ascii="TimesNewRoman" w:eastAsia="TimesNewRoman" w:hAnsi="TimesNewRoman" w:cs="TimesNewRoman"/>
                <w:b w:val="0"/>
                <w:i w:val="0"/>
                <w:vanish w:val="0"/>
                <w:color w:val="000000"/>
                <w:sz w:val="24"/>
              </w:rPr>
            </w:pPr>
          </w:p>
          <w:p w:rsidR="00A77B3E">
            <w:pPr>
              <w:spacing w:before="100" w:after="0"/>
              <w:jc w:val="left"/>
              <w:rPr>
                <w:rFonts w:ascii="TimesNewRoman" w:eastAsia="TimesNewRoman" w:hAnsi="TimesNewRoman" w:cs="TimesNewRoman"/>
                <w:b w:val="0"/>
                <w:i w:val="0"/>
                <w:vanish w:val="0"/>
                <w:color w:val="000000"/>
                <w:sz w:val="24"/>
              </w:rPr>
            </w:pPr>
            <w:r>
              <w:rPr>
                <w:rStyle w:val="Strong"/>
                <w:rFonts w:ascii="TimesNewRoman" w:eastAsia="TimesNewRoman" w:hAnsi="TimesNewRoman" w:cs="TimesNewRoman"/>
                <w:b w:val="0"/>
                <w:i w:val="0"/>
                <w:vanish w:val="0"/>
                <w:color w:val="000000"/>
                <w:sz w:val="24"/>
              </w:rPr>
              <w:t xml:space="preserve">- Okrepitev ter nadgradnja sistemov za strateško odločanje (BI): Human Resources Managment </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 xml:space="preserve">Trenutni </w:t>
            </w:r>
            <w:r>
              <w:rPr>
                <w:rStyle w:val="Strong"/>
                <w:rFonts w:ascii="TimesNewRoman" w:eastAsia="TimesNewRoman" w:hAnsi="TimesNewRoman" w:cs="TimesNewRoman"/>
                <w:b w:val="0"/>
                <w:i w:val="0"/>
                <w:vanish w:val="0"/>
                <w:color w:val="000000"/>
                <w:sz w:val="24"/>
              </w:rPr>
              <w:t xml:space="preserve">DWH </w:t>
            </w:r>
            <w:r>
              <w:rPr>
                <w:rFonts w:ascii="TimesNewRoman" w:eastAsia="TimesNewRoman" w:hAnsi="TimesNewRoman" w:cs="TimesNewRoman"/>
                <w:b w:val="0"/>
                <w:i w:val="0"/>
                <w:vanish w:val="0"/>
                <w:color w:val="000000"/>
                <w:sz w:val="24"/>
              </w:rPr>
              <w:t>(Data WareHouse) -</w:t>
            </w:r>
            <w:r>
              <w:rPr>
                <w:rStyle w:val="Strong"/>
                <w:rFonts w:ascii="TimesNewRoman" w:eastAsia="TimesNewRoman" w:hAnsi="TimesNewRoman" w:cs="TimesNewRoman"/>
                <w:b w:val="0"/>
                <w:i w:val="0"/>
                <w:vanish w:val="0"/>
                <w:color w:val="000000"/>
                <w:sz w:val="24"/>
              </w:rPr>
              <w:t xml:space="preserve"> SQL </w:t>
            </w:r>
            <w:r>
              <w:rPr>
                <w:rFonts w:ascii="TimesNewRoman" w:eastAsia="TimesNewRoman" w:hAnsi="TimesNewRoman" w:cs="TimesNewRoman"/>
                <w:b w:val="0"/>
                <w:i w:val="0"/>
                <w:vanish w:val="0"/>
                <w:color w:val="000000"/>
                <w:sz w:val="24"/>
              </w:rPr>
              <w:t>strežnik (standardni jezik za delo s podatkovnimi bazami) ne omogoča učinkovite podpore odločanju organov pregona (ni testnega okolja, premalo diskovnih kapacitet in licenc, zastarelo BI orodja). Sistem je preobremenjen, odzivni časi poročanja in analiz so predolgi.</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Ključna aktivnost: oblikovati zmogljivejše BI orodje za vizualizacijo informacij za strateško odločanje ter omogočiti mobilnost BI aplikacij. To bo omogočilo izmenjavo podatkov z zunanjimi institucijami, hitrejši odzivni čas pri ugotavljanju kriminalnih žarišč in izrednih dogodkov.</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Pričakovani rezultat:</w:t>
            </w:r>
            <w:r>
              <w:rPr>
                <w:rStyle w:val="Strong"/>
                <w:rFonts w:ascii="TimesNewRoman" w:eastAsia="TimesNewRoman" w:hAnsi="TimesNewRoman" w:cs="TimesNewRoman"/>
                <w:b w:val="0"/>
                <w:i w:val="0"/>
                <w:vanish w:val="0"/>
                <w:color w:val="000000"/>
                <w:sz w:val="24"/>
              </w:rPr>
              <w:t xml:space="preserve"> </w:t>
            </w:r>
            <w:r>
              <w:rPr>
                <w:rFonts w:ascii="TimesNewRoman" w:eastAsia="TimesNewRoman" w:hAnsi="TimesNewRoman" w:cs="TimesNewRoman"/>
                <w:b w:val="0"/>
                <w:i w:val="0"/>
                <w:vanish w:val="0"/>
                <w:color w:val="000000"/>
                <w:sz w:val="24"/>
              </w:rPr>
              <w:t>okrepljeni ter nadgrajeni sistemi za strateško odločanje za podporo boja proti kriminalu in izmenjavo podatkov kazenskega pregona na SI in EU ravni.</w:t>
            </w:r>
          </w:p>
          <w:p w:rsidR="00A77B3E">
            <w:pPr>
              <w:spacing w:before="100" w:after="0"/>
              <w:jc w:val="left"/>
              <w:rPr>
                <w:rFonts w:ascii="TimesNewRoman" w:eastAsia="TimesNewRoman" w:hAnsi="TimesNewRoman" w:cs="TimesNewRoman"/>
                <w:b w:val="0"/>
                <w:i w:val="0"/>
                <w:vanish w:val="0"/>
                <w:color w:val="000000"/>
                <w:sz w:val="24"/>
              </w:rPr>
            </w:pPr>
          </w:p>
          <w:p w:rsidR="00A77B3E">
            <w:pPr>
              <w:spacing w:before="100" w:after="0"/>
              <w:jc w:val="left"/>
              <w:rPr>
                <w:rFonts w:ascii="TimesNewRoman" w:eastAsia="TimesNewRoman" w:hAnsi="TimesNewRoman" w:cs="TimesNewRoman"/>
                <w:b w:val="0"/>
                <w:i w:val="0"/>
                <w:vanish w:val="0"/>
                <w:color w:val="000000"/>
                <w:sz w:val="24"/>
              </w:rPr>
            </w:pPr>
            <w:r>
              <w:rPr>
                <w:rStyle w:val="Strong"/>
                <w:rFonts w:ascii="TimesNewRoman" w:eastAsia="TimesNewRoman" w:hAnsi="TimesNewRoman" w:cs="TimesNewRoman"/>
                <w:b w:val="0"/>
                <w:i w:val="0"/>
                <w:vanish w:val="0"/>
                <w:color w:val="000000"/>
                <w:sz w:val="24"/>
              </w:rPr>
              <w:t>- Vzpostavitev sistema za zaznavanje anomalij in sistema za preprečevanje in odkrivanje APT (Advanced Persistent Threat)</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Policijski IT sistem nima zaščite pred vdori. Z vzpostavitvijo sistema za zaznavanje anomalij bo zmanjšana možnost zlorabe zaradi ranljivosti sistema in zlorabe z neznanimi orodji. Z detekcijo novih značilnosti orodij (boljši varnostni mehanizmi) in nepričakovanih sprememb v sistemu bo mogoče odkriti zlorabe ali jih preprečiti. Sistem APT bo namenjen zaznavanju in preprečevanju usmerjenih napadov na ITSP.</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Aktivnosti: nabaviti in/ali razviti in implementirati orodji za vzpostavitev učinkovitega sistem za zaznavanje anomalij in za preprečevanje in odkrivanje APT znotraj ITSP. Posodobitev informacijskih podsistemov je ključna, saj predstavlja temelj za implementacijo vseh novih direktiv.</w:t>
            </w:r>
          </w:p>
          <w:p w:rsidR="00A77B3E">
            <w:pPr>
              <w:spacing w:before="100" w:after="0"/>
              <w:jc w:val="left"/>
              <w:rPr>
                <w:rFonts w:ascii="TimesNewRoman" w:eastAsia="TimesNewRoman" w:hAnsi="TimesNewRoman" w:cs="TimesNewRoman"/>
                <w:b w:val="0"/>
                <w:i w:val="0"/>
                <w:vanish w:val="0"/>
                <w:color w:val="000000"/>
                <w:sz w:val="24"/>
              </w:rPr>
            </w:pPr>
          </w:p>
          <w:p w:rsidR="00A77B3E">
            <w:pPr>
              <w:spacing w:before="100" w:after="0"/>
              <w:jc w:val="left"/>
              <w:rPr>
                <w:rFonts w:ascii="TimesNewRoman" w:eastAsia="TimesNewRoman" w:hAnsi="TimesNewRoman" w:cs="TimesNewRoman"/>
                <w:b w:val="0"/>
                <w:i w:val="0"/>
                <w:vanish w:val="0"/>
                <w:color w:val="000000"/>
                <w:sz w:val="24"/>
              </w:rPr>
            </w:pPr>
            <w:r>
              <w:rPr>
                <w:rStyle w:val="Strong"/>
                <w:rFonts w:ascii="TimesNewRoman" w:eastAsia="TimesNewRoman" w:hAnsi="TimesNewRoman" w:cs="TimesNewRoman"/>
                <w:b w:val="0"/>
                <w:i w:val="0"/>
                <w:vanish w:val="0"/>
                <w:color w:val="000000"/>
                <w:sz w:val="24"/>
              </w:rPr>
              <w:t>- Kriminalistična tehnika v boju proti kriminalu</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Ogled kraja KD kot temeljno preiskovalno opravilo je vpeto v mednarodno izmenjavo podatkov o sledeh in drugih forenzičnih dokazih za odkrivanje in preiskovanje čezmejne kriminalitete. Potrebna je specifična terenska in laboratorijska oprema, znanja in akreditacije za postavitev enotnega forenzičnega prostora (cilj EFSA 2020).</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Izzivi:</w:t>
            </w:r>
          </w:p>
          <w:p w:rsidR="00A77B3E">
            <w:pPr>
              <w:numPr>
                <w:ilvl w:val="0"/>
                <w:numId w:val="14"/>
              </w:numPr>
              <w:spacing w:before="100" w:after="0"/>
              <w:ind w:left="720" w:hanging="36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Uporaba najsodobnejše opreme na kraju KD</w:t>
            </w:r>
          </w:p>
          <w:p w:rsidR="00A77B3E">
            <w:pPr>
              <w:numPr>
                <w:ilvl w:val="0"/>
                <w:numId w:val="14"/>
              </w:numPr>
              <w:spacing w:before="100" w:after="0"/>
              <w:ind w:left="720" w:hanging="36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Uporaba najsodobnejše opreme v krminalističnotehničnih laboratorijih</w:t>
            </w:r>
          </w:p>
          <w:p w:rsidR="00A77B3E">
            <w:pPr>
              <w:numPr>
                <w:ilvl w:val="0"/>
                <w:numId w:val="14"/>
              </w:numPr>
              <w:spacing w:before="100" w:after="0"/>
              <w:ind w:left="720" w:hanging="36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Razvoj standardov za iskanje, dokumentiranje in pakiranje dokazov</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Aktivnosti SNV:</w:t>
            </w:r>
          </w:p>
          <w:p w:rsidR="00A77B3E">
            <w:pPr>
              <w:numPr>
                <w:ilvl w:val="0"/>
                <w:numId w:val="15"/>
              </w:numPr>
              <w:spacing w:before="100" w:after="0"/>
              <w:ind w:left="720" w:hanging="36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Nakup opreme za ogled krajev KD</w:t>
            </w:r>
          </w:p>
          <w:p w:rsidR="00A77B3E">
            <w:pPr>
              <w:numPr>
                <w:ilvl w:val="0"/>
                <w:numId w:val="15"/>
              </w:numPr>
              <w:spacing w:before="100" w:after="0"/>
              <w:ind w:left="720" w:hanging="36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Nakup opreme za kriminalističnotehnične laboratorije</w:t>
            </w:r>
          </w:p>
          <w:p w:rsidR="00A77B3E">
            <w:pPr>
              <w:numPr>
                <w:ilvl w:val="0"/>
                <w:numId w:val="15"/>
              </w:numPr>
              <w:spacing w:before="100" w:after="0"/>
              <w:ind w:left="720" w:hanging="36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Usposabljanje policistov, ki preiskujejo kraje KD (vzorčenje dokazov, analiza krvnih vzorcev, snemanje kraja)</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Pričakovani rezultat: okrepljena in opremljena nacionalna enota za krim. tehniko v boju proti kriminalu, usposobljeni policisti in odlično delo po mednarodnih standardih.</w:t>
            </w:r>
          </w:p>
          <w:p w:rsidR="00A77B3E">
            <w:pPr>
              <w:spacing w:before="100" w:after="0"/>
              <w:jc w:val="left"/>
              <w:rPr>
                <w:rFonts w:ascii="TimesNewRoman" w:eastAsia="TimesNewRoman" w:hAnsi="TimesNewRoman" w:cs="TimesNewRoman"/>
                <w:b w:val="0"/>
                <w:i w:val="0"/>
                <w:vanish w:val="0"/>
                <w:color w:val="000000"/>
                <w:sz w:val="24"/>
              </w:rPr>
            </w:pPr>
          </w:p>
          <w:p w:rsidR="00A77B3E">
            <w:pPr>
              <w:spacing w:before="100" w:after="0"/>
              <w:jc w:val="left"/>
              <w:rPr>
                <w:rFonts w:ascii="TimesNewRoman" w:eastAsia="TimesNewRoman" w:hAnsi="TimesNewRoman" w:cs="TimesNewRoman"/>
                <w:b w:val="0"/>
                <w:i w:val="0"/>
                <w:vanish w:val="0"/>
                <w:color w:val="000000"/>
                <w:sz w:val="24"/>
              </w:rPr>
            </w:pPr>
            <w:r>
              <w:rPr>
                <w:rStyle w:val="Strong"/>
                <w:rFonts w:ascii="TimesNewRoman" w:eastAsia="TimesNewRoman" w:hAnsi="TimesNewRoman" w:cs="TimesNewRoman"/>
                <w:b w:val="0"/>
                <w:i w:val="0"/>
                <w:vanish w:val="0"/>
                <w:color w:val="000000"/>
                <w:sz w:val="24"/>
              </w:rPr>
              <w:t>-Kontrole na ozemlju SI za boj proti čezmejnemu kriminalu</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Republika Slovenija je z vstopom Republike Hrvaške v schengensko območje izgubila zunanjo kopensko mejo, zato je podvržena izvajanju kontroli znotraj ozemlja za boj proti čezmejnemu kriminalu z namenom zmanjšanja varnostnih tveganj.</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Izzivi:</w:t>
            </w:r>
          </w:p>
          <w:p w:rsidR="00A77B3E">
            <w:pPr>
              <w:numPr>
                <w:ilvl w:val="0"/>
                <w:numId w:val="16"/>
              </w:numPr>
              <w:spacing w:before="100" w:after="0"/>
              <w:ind w:left="720" w:hanging="36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Uporaba najsodobnejše opreme za odkrivanje čezmejne kriminalitete</w:t>
            </w:r>
          </w:p>
          <w:p w:rsidR="00A77B3E">
            <w:pPr>
              <w:numPr>
                <w:ilvl w:val="0"/>
                <w:numId w:val="16"/>
              </w:numPr>
              <w:spacing w:before="100" w:after="0"/>
              <w:ind w:left="720" w:hanging="36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Zagotavljanje operativnosti na celotnem območju SI</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Aktivnosti: Nakup vozil in potrebne opreme za izvajanje kontrol.</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Pričakovani rezultat: Ustrezna tehnična opremljenost in mobilnost enot, ki izvajajo kontrole znotraj ozemlja za zmanjšanje varnostnih tveganj s področja boja proti čezmejnemu kriminalu.</w:t>
            </w:r>
          </w:p>
          <w:p w:rsidR="00A77B3E">
            <w:pPr>
              <w:spacing w:before="100" w:after="0"/>
              <w:jc w:val="left"/>
              <w:rPr>
                <w:rFonts w:ascii="TimesNewRoman" w:eastAsia="TimesNewRoman" w:hAnsi="TimesNewRoman" w:cs="TimesNewRoman"/>
                <w:b w:val="0"/>
                <w:i w:val="0"/>
                <w:vanish w:val="0"/>
                <w:color w:val="000000"/>
                <w:sz w:val="24"/>
              </w:rPr>
            </w:pPr>
          </w:p>
          <w:p w:rsidR="00A77B3E">
            <w:pPr>
              <w:spacing w:before="100" w:after="0"/>
              <w:jc w:val="left"/>
              <w:rPr>
                <w:rFonts w:ascii="TimesNewRoman" w:eastAsia="TimesNewRoman" w:hAnsi="TimesNewRoman" w:cs="TimesNewRoman"/>
                <w:b w:val="0"/>
                <w:i w:val="0"/>
                <w:vanish w:val="0"/>
                <w:color w:val="000000"/>
                <w:sz w:val="24"/>
              </w:rPr>
            </w:pPr>
            <w:r>
              <w:rPr>
                <w:rStyle w:val="Strong"/>
                <w:rFonts w:ascii="TimesNewRoman" w:eastAsia="TimesNewRoman" w:hAnsi="TimesNewRoman" w:cs="TimesNewRoman"/>
                <w:b w:val="0"/>
                <w:i w:val="0"/>
                <w:vanish w:val="0"/>
                <w:color w:val="000000"/>
                <w:sz w:val="24"/>
              </w:rPr>
              <w:t xml:space="preserve">4) </w:t>
            </w:r>
            <w:r>
              <w:rPr>
                <w:rStyle w:val="Strong"/>
                <w:rFonts w:ascii="TimesNewRoman" w:eastAsia="TimesNewRoman" w:hAnsi="TimesNewRoman" w:cs="TimesNewRoman"/>
                <w:b w:val="0"/>
                <w:i w:val="0"/>
                <w:vanish w:val="0"/>
                <w:color w:val="000000"/>
                <w:sz w:val="24"/>
                <w:u w:val="single"/>
              </w:rPr>
              <w:t>Izvedbeni ukrep 3d): Odziv na varnostne grožnje</w:t>
            </w:r>
          </w:p>
          <w:p w:rsidR="00A77B3E">
            <w:pPr>
              <w:spacing w:before="100" w:after="0"/>
              <w:jc w:val="left"/>
              <w:rPr>
                <w:rFonts w:ascii="TimesNewRoman" w:eastAsia="TimesNewRoman" w:hAnsi="TimesNewRoman" w:cs="TimesNewRoman"/>
                <w:b w:val="0"/>
                <w:i w:val="0"/>
                <w:vanish w:val="0"/>
                <w:color w:val="000000"/>
                <w:sz w:val="24"/>
              </w:rPr>
            </w:pPr>
            <w:r>
              <w:rPr>
                <w:rStyle w:val="Strong"/>
                <w:rFonts w:ascii="TimesNewRoman" w:eastAsia="TimesNewRoman" w:hAnsi="TimesNewRoman" w:cs="TimesNewRoman"/>
                <w:b w:val="0"/>
                <w:i w:val="0"/>
                <w:vanish w:val="0"/>
                <w:color w:val="000000"/>
                <w:sz w:val="24"/>
              </w:rPr>
              <w:t>- Prostori za vodnike službenih psov</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Za uspeh kriminalističnih preiskav in forenzike potrebujejo vodniki službenih psov, ki sodelujejo pri zagotavljanju varnosti in opravljanju najzahtevnejših policijskih nalog, primerne prostore, kar se zagotovi iz sredstev sklada.</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Izzivi:</w:t>
            </w:r>
          </w:p>
          <w:p w:rsidR="00A77B3E">
            <w:pPr>
              <w:numPr>
                <w:ilvl w:val="0"/>
                <w:numId w:val="17"/>
              </w:numPr>
              <w:spacing w:before="100" w:after="0"/>
              <w:ind w:left="720" w:hanging="36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Ustrezni prostori za delovanje enot vodnikov službenih psov, ki sodelujejo pri zagotavljanju varnosti in opravljanju najzahtevnejših policijskih nalog (iskanje različnih snovi ali predmetov, predvsem za uspeh kriminalističnih preiskav in forenzike).</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Aktivnosti:</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Izvedba projektantskih storitev za gradnjo ter odstranitev obstoječega kontejnerskega objekta in gradnja novega montažnega objekta za potrebe Policijske postaje vodnikov službenih psov Novo mesto (do 75 m2; skupni prostor, garderobni in sanitarni prostori, skladišča ipd.).</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Pričakovani rezultat: Ustrezna opremljenost enot vodnikov službenih psov, ki sodelujejo pri zagotavljanju varnosti in opravljanju najzahtevnejših policijskih nalog.</w:t>
            </w:r>
          </w:p>
          <w:p w:rsidR="00A77B3E">
            <w:pPr>
              <w:spacing w:before="100" w:after="0"/>
              <w:jc w:val="left"/>
              <w:rPr>
                <w:rFonts w:ascii="TimesNewRoman" w:eastAsia="TimesNewRoman" w:hAnsi="TimesNewRoman" w:cs="TimesNewRoman"/>
                <w:b w:val="0"/>
                <w:i w:val="0"/>
                <w:vanish w:val="0"/>
                <w:color w:val="000000"/>
                <w:sz w:val="24"/>
              </w:rPr>
            </w:pPr>
          </w:p>
          <w:p w:rsidR="00A77B3E">
            <w:pPr>
              <w:spacing w:before="100" w:after="0"/>
              <w:jc w:val="left"/>
              <w:rPr>
                <w:rFonts w:ascii="TimesNewRoman" w:eastAsia="TimesNewRoman" w:hAnsi="TimesNewRoman" w:cs="TimesNewRoman"/>
                <w:b w:val="0"/>
                <w:i w:val="0"/>
                <w:vanish w:val="0"/>
                <w:color w:val="000000"/>
                <w:sz w:val="24"/>
              </w:rPr>
            </w:pPr>
            <w:r>
              <w:rPr>
                <w:rStyle w:val="Strong"/>
                <w:rFonts w:ascii="TimesNewRoman" w:eastAsia="TimesNewRoman" w:hAnsi="TimesNewRoman" w:cs="TimesNewRoman"/>
                <w:b w:val="0"/>
                <w:i w:val="0"/>
                <w:vanish w:val="0"/>
                <w:color w:val="000000"/>
                <w:sz w:val="24"/>
              </w:rPr>
              <w:t>-Nadgradnja, dopolnitev sistema protidronske elektronske zaščite</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Nadgradnja, dopolnitev sistema proti dronske elektronske zaščite bo izvedena z nakupom specialne opreme za nadgradnjo, dopolnitev obstoječe elektronske opreme za izvajanje nalog policije na področju proti dronske elektronske zaščite.</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Slovenska policija ima osnovno opremo za detekcijo in sledenje dronom v zraku, ki jo želi programsko nadgraditi za čim boljšo detekcijo aktualnih dronov v zraku ter dopolniti z novo, sodobno elektronsko opremo. Elektronska oprema za proti dronsko delovanje obsega področje DTI (detection, tracking, identification) in tudi N (neutralisation).</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SI želi nadaljevati s sodelovanjem in izmenjavo dobrih praks, kar je izjemno pomembno za področje harmonizacije in učinkovitosti dela policijskih organizacij v okviru ekspertne skupine C-UAS.</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Normativni okvir predstavljajo Uredbi EU 2019/947 in 2019/945, Uredba o izvajanju Uredbe UAS ter Zakon o nalogah in pooblastilih policije (ZNPPol) (56. in 88. člen).</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Pričakovani rezultati:</w:t>
            </w:r>
          </w:p>
          <w:p w:rsidR="00A77B3E">
            <w:pPr>
              <w:numPr>
                <w:ilvl w:val="0"/>
                <w:numId w:val="18"/>
              </w:numPr>
              <w:spacing w:before="100" w:after="0"/>
              <w:ind w:left="720" w:hanging="36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Nadgradnja in dopolnitev obstoječe elektronske opreme za proti dronsko elektronsko opremo,</w:t>
            </w:r>
          </w:p>
          <w:p w:rsidR="00A77B3E">
            <w:pPr>
              <w:numPr>
                <w:ilvl w:val="0"/>
                <w:numId w:val="18"/>
              </w:numPr>
              <w:spacing w:before="100" w:after="0"/>
              <w:ind w:left="720" w:hanging="36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sodelovanje in izmenjava dobrih praks v okviru ekspertne skupine C-UAS</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Cilj je zagotavljanje operativne sposobnosti in tehničnih zmogljivosti Policije, skladno s strategijo Policije na predmetnem področju in operativnimi cilji usmerjenimi v skupne cilje EU (enovita ureditev področja v EU) in usmeritvami ekspertne skupine (C-UAS) - da se prispeva k ureditvi izjemno pomembnega tehnološkega področja, ki vpliva na varnost držav in varovanje kritične infrastrukture.</w:t>
            </w:r>
          </w:p>
          <w:p w:rsidR="00A77B3E">
            <w:pPr>
              <w:spacing w:before="100" w:after="0"/>
              <w:jc w:val="left"/>
              <w:rPr>
                <w:rFonts w:ascii="TimesNewRoman" w:eastAsia="TimesNewRoman" w:hAnsi="TimesNewRoman" w:cs="TimesNewRoman"/>
                <w:b w:val="0"/>
                <w:i w:val="0"/>
                <w:vanish w:val="0"/>
                <w:color w:val="000000"/>
                <w:sz w:val="24"/>
              </w:rPr>
            </w:pPr>
          </w:p>
          <w:p w:rsidR="00A77B3E">
            <w:pPr>
              <w:spacing w:before="100" w:after="0"/>
              <w:jc w:val="left"/>
              <w:rPr>
                <w:rFonts w:ascii="TimesNewRoman" w:eastAsia="TimesNewRoman" w:hAnsi="TimesNewRoman" w:cs="TimesNewRoman"/>
                <w:b w:val="0"/>
                <w:i w:val="0"/>
                <w:vanish w:val="0"/>
                <w:color w:val="000000"/>
                <w:sz w:val="24"/>
              </w:rPr>
            </w:pPr>
            <w:r>
              <w:rPr>
                <w:rStyle w:val="Strong"/>
                <w:rFonts w:ascii="TimesNewRoman" w:eastAsia="TimesNewRoman" w:hAnsi="TimesNewRoman" w:cs="TimesNewRoman"/>
                <w:b w:val="0"/>
                <w:i w:val="0"/>
                <w:vanish w:val="0"/>
                <w:color w:val="000000"/>
                <w:sz w:val="24"/>
              </w:rPr>
              <w:t xml:space="preserve">5) </w:t>
            </w:r>
            <w:r>
              <w:rPr>
                <w:rStyle w:val="Strong"/>
                <w:rFonts w:ascii="TimesNewRoman" w:eastAsia="TimesNewRoman" w:hAnsi="TimesNewRoman" w:cs="TimesNewRoman"/>
                <w:b w:val="0"/>
                <w:i w:val="0"/>
                <w:vanish w:val="0"/>
                <w:color w:val="000000"/>
                <w:sz w:val="24"/>
                <w:u w:val="single"/>
              </w:rPr>
              <w:t>Izvedbeni ukrep 3e): zaščita kritične infrastrukture</w:t>
            </w:r>
          </w:p>
          <w:p w:rsidR="00A77B3E">
            <w:pPr>
              <w:spacing w:before="100" w:after="0"/>
              <w:jc w:val="left"/>
              <w:rPr>
                <w:rFonts w:ascii="TimesNewRoman" w:eastAsia="TimesNewRoman" w:hAnsi="TimesNewRoman" w:cs="TimesNewRoman"/>
                <w:b w:val="0"/>
                <w:i w:val="0"/>
                <w:vanish w:val="0"/>
                <w:color w:val="000000"/>
                <w:sz w:val="24"/>
              </w:rPr>
            </w:pPr>
          </w:p>
          <w:p w:rsidR="00A77B3E">
            <w:pPr>
              <w:spacing w:before="100" w:after="0"/>
              <w:jc w:val="left"/>
              <w:rPr>
                <w:rFonts w:ascii="TimesNewRoman" w:eastAsia="TimesNewRoman" w:hAnsi="TimesNewRoman" w:cs="TimesNewRoman"/>
                <w:b w:val="0"/>
                <w:i w:val="0"/>
                <w:vanish w:val="0"/>
                <w:color w:val="000000"/>
                <w:sz w:val="24"/>
              </w:rPr>
            </w:pPr>
            <w:r>
              <w:rPr>
                <w:rStyle w:val="Strong"/>
                <w:rFonts w:ascii="TimesNewRoman" w:eastAsia="TimesNewRoman" w:hAnsi="TimesNewRoman" w:cs="TimesNewRoman"/>
                <w:b w:val="0"/>
                <w:i w:val="0"/>
                <w:vanish w:val="0"/>
                <w:color w:val="000000"/>
                <w:sz w:val="24"/>
              </w:rPr>
              <w:t>- Kritična infrastruktura, krizno upravljanje in odziv na krize</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Obstoječi sistemi upravljanja in zaščite kritične infrastrukture ne omogočajo hitrega izmenjevanja večjih količin podatkov in odzivanja v realnem času na zaščitenih komunikacijskih kanalih (manjša odpornost in večje tveganje za razvoj kriminala v času krize). Posodobitev je nujna.</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Za to je potreben razvoj, nadgradnja, vzdrževanje in povezljivost IKT sistemov in centrov (sistem nacionalne varnosti), dodatno pa je potrebno pripraviti vadbene podlage in zagotoviti redno usposabljanje subjektov kriznega upravljanja in zaščite kritične infrastrukture z namenom promptnega in usklajenega odzivanja na morebitne grožnje.</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Cilj je krepitev zmogljivosti za zgodnje odkrivanje, preprečevanje kriz in hitro odzivanje nanje (cilj Strategije EU za varnostno unijo).</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Ključne aktivnosti:</w:t>
            </w:r>
          </w:p>
          <w:p w:rsidR="00A77B3E">
            <w:pPr>
              <w:numPr>
                <w:ilvl w:val="0"/>
                <w:numId w:val="19"/>
              </w:numPr>
              <w:spacing w:before="100" w:after="0"/>
              <w:ind w:left="720" w:hanging="36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Nadgradnja programskega IT za podporo odločanju</w:t>
            </w:r>
          </w:p>
          <w:p w:rsidR="00A77B3E">
            <w:pPr>
              <w:numPr>
                <w:ilvl w:val="0"/>
                <w:numId w:val="19"/>
              </w:numPr>
              <w:spacing w:before="100" w:after="0"/>
              <w:ind w:left="720" w:hanging="36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Nadgradnja analitičnih zmogljivosti sistema Nacionalnega centra za krizno upravljanje NCKU za podporo odločanju subjektom kriznega upravljanja in vodenja s pomočjo umetne inteligence</w:t>
            </w:r>
          </w:p>
          <w:p w:rsidR="00A77B3E">
            <w:pPr>
              <w:numPr>
                <w:ilvl w:val="0"/>
                <w:numId w:val="19"/>
              </w:numPr>
              <w:spacing w:before="100" w:after="0"/>
              <w:ind w:left="720" w:hanging="36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Vzpostavitev geografske podpore analitični zmogljivosti v NCKU</w:t>
            </w:r>
          </w:p>
          <w:p w:rsidR="00A77B3E">
            <w:pPr>
              <w:numPr>
                <w:ilvl w:val="0"/>
                <w:numId w:val="19"/>
              </w:numPr>
              <w:spacing w:before="100" w:after="0"/>
              <w:ind w:left="720" w:hanging="36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Usposabljanja upravljavcev kritične infrastrukture za odziv na krize, hibridne grožnje (fin. 90%)</w:t>
            </w:r>
          </w:p>
          <w:p w:rsidR="00A77B3E">
            <w:pPr>
              <w:numPr>
                <w:ilvl w:val="0"/>
                <w:numId w:val="19"/>
              </w:numPr>
              <w:spacing w:before="100" w:after="0"/>
              <w:ind w:left="720" w:hanging="36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Vaje s področja kritične infrastrukture (fin. 90%)</w:t>
            </w:r>
          </w:p>
          <w:p w:rsidR="00A77B3E">
            <w:pPr>
              <w:numPr>
                <w:ilvl w:val="0"/>
                <w:numId w:val="19"/>
              </w:numPr>
              <w:spacing w:before="100" w:after="0"/>
              <w:ind w:left="720" w:hanging="36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Kartografska podpora akterjem kriznega upravljanja in vodenja na operativni ravni, nosilcem in upravljavcem kritične infrastrukture, za potrebe obrambe, notranjih zadev in drugih</w:t>
            </w:r>
          </w:p>
          <w:p w:rsidR="00A77B3E">
            <w:pPr>
              <w:spacing w:before="100" w:after="0"/>
              <w:jc w:val="left"/>
              <w:rPr>
                <w:rFonts w:ascii="TimesNewRoman" w:eastAsia="TimesNewRoman" w:hAnsi="TimesNewRoman" w:cs="TimesNewRoman"/>
                <w:b w:val="0"/>
                <w:i w:val="0"/>
                <w:vanish w:val="0"/>
                <w:color w:val="000000"/>
                <w:sz w:val="6"/>
              </w:rPr>
            </w:pPr>
          </w:p>
          <w:p w:rsidR="00A77B3E">
            <w:pPr>
              <w:spacing w:before="100" w:after="0"/>
              <w:jc w:val="left"/>
              <w:rPr>
                <w:rFonts w:ascii="TimesNewRoman" w:eastAsia="TimesNewRoman" w:hAnsi="TimesNewRoman" w:cs="TimesNewRoman"/>
                <w:b w:val="0"/>
                <w:i w:val="0"/>
                <w:vanish w:val="0"/>
                <w:color w:val="000000"/>
                <w:sz w:val="6"/>
              </w:rPr>
            </w:pPr>
          </w:p>
        </w:tc>
      </w:tr>
    </w:tbl>
    <w:p w:rsidR="00A77B3E">
      <w:pPr>
        <w:spacing w:before="100" w:after="0"/>
        <w:jc w:val="left"/>
        <w:rPr>
          <w:rFonts w:ascii="TimesNewRoman" w:eastAsia="TimesNewRoman" w:hAnsi="TimesNewRoman" w:cs="TimesNewRoman"/>
          <w:b w:val="0"/>
          <w:i w:val="0"/>
          <w:vanish w:val="0"/>
          <w:color w:val="000000"/>
          <w:sz w:val="24"/>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orient="portrait"/>
          <w:pgMar w:top="720" w:right="936" w:bottom="864" w:left="720" w:header="0" w:footer="72" w:gutter="0"/>
          <w:cols w:space="708"/>
          <w:noEndnote/>
          <w:docGrid w:linePitch="360"/>
        </w:sectPr>
      </w:pPr>
    </w:p>
    <w:p w:rsidR="00A77B3E">
      <w:pPr>
        <w:spacing w:before="100" w:after="0"/>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2.1. Specifični cilj 3. Preprečevanje kriminala in boj proti njemu</w:t>
      </w:r>
    </w:p>
    <w:p w:rsidR="00A77B3E">
      <w:pPr>
        <w:pStyle w:val="Heading3"/>
        <w:spacing w:before="100" w:after="0"/>
        <w:jc w:val="left"/>
        <w:rPr>
          <w:rFonts w:ascii="Times New Roman" w:eastAsia="Times New Roman" w:hAnsi="Times New Roman" w:cs="Times New Roman"/>
          <w:b w:val="0"/>
          <w:i w:val="0"/>
          <w:vanish w:val="0"/>
          <w:color w:val="000000"/>
          <w:sz w:val="24"/>
        </w:rPr>
      </w:pPr>
      <w:bookmarkStart w:id="18" w:name="_Toc256000073"/>
      <w:r>
        <w:rPr>
          <w:rFonts w:ascii="Times New Roman" w:eastAsia="Times New Roman" w:hAnsi="Times New Roman" w:cs="Times New Roman"/>
          <w:b w:val="0"/>
          <w:i w:val="0"/>
          <w:vanish w:val="0"/>
          <w:color w:val="000000"/>
          <w:sz w:val="24"/>
        </w:rPr>
        <w:t>2.1.2. Kazalniki</w:t>
      </w:r>
      <w:bookmarkEnd w:id="18"/>
    </w:p>
    <w:p w:rsidR="00A77B3E">
      <w:pPr>
        <w:spacing w:before="100" w:after="0"/>
        <w:jc w:val="left"/>
        <w:rPr>
          <w:rFonts w:ascii="Times New Roman" w:eastAsia="Times New Roman" w:hAnsi="Times New Roman" w:cs="Times New Roman"/>
          <w:b w:val="0"/>
          <w:i w:val="0"/>
          <w:vanish w:val="0"/>
          <w:color w:val="000000"/>
          <w:sz w:val="12"/>
        </w:rPr>
      </w:pPr>
      <w:r>
        <w:rPr>
          <w:rFonts w:ascii="Times New Roman" w:eastAsia="Times New Roman" w:hAnsi="Times New Roman" w:cs="Times New Roman"/>
          <w:b w:val="0"/>
          <w:i w:val="0"/>
          <w:vanish w:val="0"/>
          <w:color w:val="000000"/>
          <w:sz w:val="24"/>
        </w:rPr>
        <w:t>Sklic: člen 22(4)(e) uredbe o skupnih določbah</w:t>
      </w:r>
    </w:p>
    <w:p w:rsidR="00A77B3E">
      <w:pPr>
        <w:pStyle w:val="Heading4"/>
        <w:spacing w:before="100" w:after="0"/>
        <w:jc w:val="left"/>
        <w:rPr>
          <w:rFonts w:ascii="Times New Roman" w:eastAsia="Times New Roman" w:hAnsi="Times New Roman" w:cs="Times New Roman"/>
          <w:b w:val="0"/>
          <w:i w:val="0"/>
          <w:vanish w:val="0"/>
          <w:color w:val="000000"/>
          <w:sz w:val="24"/>
        </w:rPr>
      </w:pPr>
      <w:bookmarkStart w:id="19" w:name="_Toc256000074"/>
      <w:r>
        <w:rPr>
          <w:rFonts w:ascii="Times New Roman" w:eastAsia="Times New Roman" w:hAnsi="Times New Roman" w:cs="Times New Roman"/>
          <w:b w:val="0"/>
          <w:i w:val="0"/>
          <w:vanish w:val="0"/>
          <w:color w:val="000000"/>
          <w:sz w:val="24"/>
        </w:rPr>
        <w:t>Tabela 1: Kazalniki učinka</w:t>
      </w:r>
      <w:bookmarkEnd w:id="19"/>
    </w:p>
    <w:p w:rsidR="00A77B3E">
      <w:pPr>
        <w:spacing w:before="100" w:after="0"/>
        <w:jc w:val="left"/>
        <w:rPr>
          <w:rFonts w:ascii="Times New Roman" w:eastAsia="Times New Roman" w:hAnsi="Times New Roman" w:cs="Times New Roman"/>
          <w:b w:val="0"/>
          <w:i w:val="0"/>
          <w:vanish w:val="0"/>
          <w:color w:val="000000"/>
          <w:sz w:val="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1184"/>
        <w:gridCol w:w="10429"/>
        <w:gridCol w:w="1272"/>
        <w:gridCol w:w="1355"/>
        <w:gridCol w:w="1062"/>
      </w:tblGrid>
      <w:tr>
        <w:tblPrEx>
          <w:tblW w:w="5000" w:type="pct"/>
        </w:tblPrEx>
        <w:trPr>
          <w:cantSplit w:val="0"/>
          <w:trHeight w:hRule="auto" w:val="0"/>
          <w:tblHeader/>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Identifikator</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Kazalnik</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Merska enota</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Mejnik (2024)</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Cilj (2029)</w:t>
            </w:r>
          </w:p>
        </w:tc>
      </w:tr>
      <w:tr>
        <w:tblPrEx>
          <w:tblW w:w="5000" w:type="pct"/>
        </w:tblPrEx>
        <w:trPr>
          <w:cantSplit w:val="0"/>
          <w:trHeight w:hRule="auto" w:val="0"/>
          <w:tblHeader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O.3.1</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 xml:space="preserve">Število udeležencev dejavnosti usposabljanja </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število</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4.666</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12.311</w:t>
            </w:r>
          </w:p>
        </w:tc>
      </w:tr>
      <w:tr>
        <w:tblPrEx>
          <w:tblW w:w="5000" w:type="pct"/>
        </w:tblPrEx>
        <w:trPr>
          <w:cantSplit w:val="0"/>
          <w:trHeight w:hRule="auto" w:val="0"/>
          <w:tblHeader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O.3.2</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 xml:space="preserve">Število programov izmenjave/delavnic/študijskih obiskov </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število</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47</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187</w:t>
            </w:r>
          </w:p>
        </w:tc>
      </w:tr>
      <w:tr>
        <w:tblPrEx>
          <w:tblW w:w="5000" w:type="pct"/>
        </w:tblPrEx>
        <w:trPr>
          <w:cantSplit w:val="0"/>
          <w:trHeight w:hRule="auto" w:val="0"/>
          <w:tblHeader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O.3.3</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 xml:space="preserve">Število kupljenih kosov opreme </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število</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824</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1.788</w:t>
            </w:r>
          </w:p>
        </w:tc>
      </w:tr>
      <w:tr>
        <w:tblPrEx>
          <w:tblW w:w="5000" w:type="pct"/>
        </w:tblPrEx>
        <w:trPr>
          <w:cantSplit w:val="0"/>
          <w:trHeight w:hRule="auto" w:val="0"/>
          <w:tblHeader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O.3.4</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 xml:space="preserve">Število kupljenih prevoznih sredstev </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število</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28</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30</w:t>
            </w:r>
          </w:p>
        </w:tc>
      </w:tr>
      <w:tr>
        <w:tblPrEx>
          <w:tblW w:w="5000" w:type="pct"/>
        </w:tblPrEx>
        <w:trPr>
          <w:cantSplit w:val="0"/>
          <w:trHeight w:hRule="auto" w:val="0"/>
          <w:tblHeader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O.3.5</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 xml:space="preserve">Število zgrajenih/kupljenih/nadgrajenih elementov infrastrukture/za varnost pomembnih zmogljivosti/orodij/mehanizmov </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število</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3</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6</w:t>
            </w:r>
          </w:p>
        </w:tc>
      </w:tr>
      <w:tr>
        <w:tblPrEx>
          <w:tblW w:w="5000" w:type="pct"/>
        </w:tblPrEx>
        <w:trPr>
          <w:cantSplit w:val="0"/>
          <w:trHeight w:hRule="auto" w:val="0"/>
          <w:tblHeader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O.3.6</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 xml:space="preserve">Število projektov za preprečevanje kriminala </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število</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15</w:t>
            </w:r>
          </w:p>
        </w:tc>
      </w:tr>
      <w:tr>
        <w:tblPrEx>
          <w:tblW w:w="5000" w:type="pct"/>
        </w:tblPrEx>
        <w:trPr>
          <w:cantSplit w:val="0"/>
          <w:trHeight w:hRule="auto" w:val="0"/>
          <w:tblHeader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O.3.7</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 xml:space="preserve">Število projektov za pomoč žrtvam kaznivih dejanj </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število</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5</w:t>
            </w:r>
          </w:p>
        </w:tc>
      </w:tr>
      <w:tr>
        <w:tblPrEx>
          <w:tblW w:w="5000" w:type="pct"/>
        </w:tblPrEx>
        <w:trPr>
          <w:cantSplit w:val="0"/>
          <w:trHeight w:hRule="auto" w:val="0"/>
          <w:tblHeader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O.3.8</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 xml:space="preserve">Število žrtev kaznivih dejanj, ki so prejele pomoč </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število</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10</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30</w:t>
            </w:r>
          </w:p>
        </w:tc>
      </w:tr>
    </w:tbl>
    <w:p w:rsidR="00A77B3E">
      <w:pPr>
        <w:spacing w:before="100" w:after="0"/>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0"/>
        </w:rPr>
        <w:br w:type="page"/>
      </w:r>
      <w:r>
        <w:rPr>
          <w:rFonts w:ascii="Times New Roman" w:eastAsia="Times New Roman" w:hAnsi="Times New Roman" w:cs="Times New Roman"/>
          <w:b w:val="0"/>
          <w:i w:val="0"/>
          <w:vanish w:val="0"/>
          <w:color w:val="000000"/>
          <w:sz w:val="24"/>
        </w:rPr>
        <w:t>2.1. Specifični cilj 3. Preprečevanje kriminala in boj proti njemu</w:t>
      </w:r>
    </w:p>
    <w:p w:rsidR="00A77B3E">
      <w:pPr>
        <w:spacing w:before="100" w:after="0"/>
        <w:jc w:val="left"/>
        <w:rPr>
          <w:rFonts w:ascii="Times New Roman" w:eastAsia="Times New Roman" w:hAnsi="Times New Roman" w:cs="Times New Roman"/>
          <w:b w:val="0"/>
          <w:i w:val="0"/>
          <w:vanish w:val="0"/>
          <w:color w:val="000000"/>
          <w:sz w:val="0"/>
        </w:rPr>
      </w:pPr>
      <w:r>
        <w:rPr>
          <w:rFonts w:ascii="Times New Roman" w:eastAsia="Times New Roman" w:hAnsi="Times New Roman" w:cs="Times New Roman"/>
          <w:b w:val="0"/>
          <w:i w:val="0"/>
          <w:vanish w:val="0"/>
          <w:color w:val="000000"/>
          <w:sz w:val="24"/>
        </w:rPr>
        <w:t>2.1.2. Kazalniki</w:t>
      </w:r>
    </w:p>
    <w:p w:rsidR="00A77B3E">
      <w:pPr>
        <w:spacing w:before="100" w:after="0"/>
        <w:jc w:val="left"/>
        <w:rPr>
          <w:rFonts w:ascii="Times New Roman" w:eastAsia="Times New Roman" w:hAnsi="Times New Roman" w:cs="Times New Roman"/>
          <w:b w:val="0"/>
          <w:i w:val="0"/>
          <w:vanish w:val="0"/>
          <w:color w:val="000000"/>
          <w:sz w:val="12"/>
        </w:rPr>
      </w:pPr>
      <w:r>
        <w:rPr>
          <w:rFonts w:ascii="Times New Roman" w:eastAsia="Times New Roman" w:hAnsi="Times New Roman" w:cs="Times New Roman"/>
          <w:b w:val="0"/>
          <w:i w:val="0"/>
          <w:vanish w:val="0"/>
          <w:color w:val="000000"/>
          <w:sz w:val="24"/>
        </w:rPr>
        <w:t>Sklic: člen 22(4)(e) uredbe o skupnih določbah</w:t>
      </w:r>
    </w:p>
    <w:p w:rsidR="00A77B3E">
      <w:pPr>
        <w:pStyle w:val="Heading4"/>
        <w:spacing w:before="100" w:after="0"/>
        <w:jc w:val="left"/>
        <w:rPr>
          <w:rFonts w:ascii="Times New Roman" w:eastAsia="Times New Roman" w:hAnsi="Times New Roman" w:cs="Times New Roman"/>
          <w:b w:val="0"/>
          <w:i w:val="0"/>
          <w:vanish w:val="0"/>
          <w:color w:val="000000"/>
          <w:sz w:val="24"/>
        </w:rPr>
      </w:pPr>
      <w:bookmarkStart w:id="20" w:name="_Toc256000075"/>
      <w:r>
        <w:rPr>
          <w:rFonts w:ascii="Times New Roman" w:eastAsia="Times New Roman" w:hAnsi="Times New Roman" w:cs="Times New Roman"/>
          <w:b w:val="0"/>
          <w:i w:val="0"/>
          <w:vanish w:val="0"/>
          <w:color w:val="000000"/>
          <w:sz w:val="24"/>
        </w:rPr>
        <w:t>Tabela 2: Kazalniki rezultatov</w:t>
      </w:r>
      <w:bookmarkEnd w:id="20"/>
    </w:p>
    <w:p w:rsidR="00A77B3E">
      <w:pPr>
        <w:spacing w:before="100" w:after="0"/>
        <w:jc w:val="left"/>
        <w:rPr>
          <w:rFonts w:ascii="Times New Roman" w:eastAsia="Times New Roman" w:hAnsi="Times New Roman" w:cs="Times New Roman"/>
          <w:b w:val="0"/>
          <w:i w:val="0"/>
          <w:vanish w:val="0"/>
          <w:color w:val="000000"/>
          <w:sz w:val="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Pr>
      <w:tblGrid>
        <w:gridCol w:w="760"/>
        <w:gridCol w:w="2276"/>
        <w:gridCol w:w="1517"/>
        <w:gridCol w:w="1517"/>
        <w:gridCol w:w="1517"/>
        <w:gridCol w:w="1517"/>
        <w:gridCol w:w="1517"/>
        <w:gridCol w:w="1517"/>
        <w:gridCol w:w="1517"/>
        <w:gridCol w:w="1517"/>
      </w:tblGrid>
      <w:tr>
        <w:tblPrEx>
          <w:tblW w:w="5000" w:type="pct"/>
          <w:tblLayout w:type="fixed"/>
        </w:tblPrEx>
        <w:trPr>
          <w:cantSplit w:val="0"/>
          <w:trHeight w:hRule="auto" w:val="0"/>
          <w:tblHeader/>
        </w:trPr>
        <w:tc>
          <w:tcPr>
            <w:tcW w:w="25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Identifikator</w:t>
            </w:r>
          </w:p>
        </w:tc>
        <w:tc>
          <w:tcPr>
            <w:tcW w:w="75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Kazalnik</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Merska enota</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Izhodišče</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Merska enota za izhodišče</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Referenčna leta</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Cilj (2029)</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Merska enota za cilj</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Vir podatkov</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Opombe</w:t>
            </w:r>
          </w:p>
        </w:tc>
      </w:tr>
      <w:tr>
        <w:tblPrEx>
          <w:tblW w:w="5000" w:type="pct"/>
          <w:tblLayout w:type="fixed"/>
        </w:tblPrEx>
        <w:trPr>
          <w:cantSplit w:val="0"/>
          <w:trHeight w:hRule="auto" w:val="0"/>
          <w:tblHeader w:val="0"/>
        </w:trPr>
        <w:tc>
          <w:tcPr>
            <w:tcW w:w="25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R.3.9</w:t>
            </w:r>
          </w:p>
        </w:tc>
        <w:tc>
          <w:tcPr>
            <w:tcW w:w="75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Število oblikovanih/razširjenih pobud za preprečevanje radikalizacije</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število</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število</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2021</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2</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število</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Evidenca policije (UKP GPU).</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p>
        </w:tc>
      </w:tr>
      <w:tr>
        <w:tblPrEx>
          <w:tblW w:w="5000" w:type="pct"/>
          <w:tblLayout w:type="fixed"/>
        </w:tblPrEx>
        <w:trPr>
          <w:cantSplit w:val="0"/>
          <w:trHeight w:hRule="auto" w:val="0"/>
          <w:tblHeader w:val="0"/>
        </w:trPr>
        <w:tc>
          <w:tcPr>
            <w:tcW w:w="25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R.3.10</w:t>
            </w:r>
          </w:p>
        </w:tc>
        <w:tc>
          <w:tcPr>
            <w:tcW w:w="75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Število oblikovanih/razširjenih pobud za zaščito/podporo pričam in žvižgačem</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število</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število</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2021</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1</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število</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Letno in polletno poročilo o delu policije; interne evidence MNZJU in policije.</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p>
        </w:tc>
      </w:tr>
      <w:tr>
        <w:tblPrEx>
          <w:tblW w:w="5000" w:type="pct"/>
          <w:tblLayout w:type="fixed"/>
        </w:tblPrEx>
        <w:trPr>
          <w:cantSplit w:val="0"/>
          <w:trHeight w:hRule="auto" w:val="0"/>
          <w:tblHeader w:val="0"/>
        </w:trPr>
        <w:tc>
          <w:tcPr>
            <w:tcW w:w="25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R.3.11</w:t>
            </w:r>
          </w:p>
        </w:tc>
        <w:tc>
          <w:tcPr>
            <w:tcW w:w="75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Število kritičnih infrastruktur/javnih prostorov z novimi/prilagojenimi zmogljivostmi za zaščito pred incidenti, povezanimi z varnostjo</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število</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število</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2021</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57</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število</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Letno in polletno poročilo o delu policije; interne evidence MNZJU in policije</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p>
        </w:tc>
      </w:tr>
      <w:tr>
        <w:tblPrEx>
          <w:tblW w:w="5000" w:type="pct"/>
          <w:tblLayout w:type="fixed"/>
        </w:tblPrEx>
        <w:trPr>
          <w:cantSplit w:val="0"/>
          <w:trHeight w:hRule="auto" w:val="0"/>
          <w:tblHeader w:val="0"/>
        </w:trPr>
        <w:tc>
          <w:tcPr>
            <w:tcW w:w="25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R.3.12</w:t>
            </w:r>
          </w:p>
        </w:tc>
        <w:tc>
          <w:tcPr>
            <w:tcW w:w="75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Število udeležencev, ki menijo, da je usposabljanje koristno za njihovo delo</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število</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delež</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2021</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10.472</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število</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Podatki nacionalne PNR enote in ISCIU, liste prisotnosti na usposabljanjih, anketni listi.</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p>
        </w:tc>
      </w:tr>
      <w:tr>
        <w:tblPrEx>
          <w:tblW w:w="5000" w:type="pct"/>
          <w:tblLayout w:type="fixed"/>
        </w:tblPrEx>
        <w:trPr>
          <w:cantSplit w:val="0"/>
          <w:trHeight w:hRule="auto" w:val="0"/>
          <w:tblHeader w:val="0"/>
        </w:trPr>
        <w:tc>
          <w:tcPr>
            <w:tcW w:w="25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R.3.13</w:t>
            </w:r>
          </w:p>
        </w:tc>
        <w:tc>
          <w:tcPr>
            <w:tcW w:w="75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Število udeležencev, ki tri mesece po končanem usposabljanju poročajo, da uporabljajo spretnosti in kompetence, pridobljene med tem usposabljanjem</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število</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delež</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2021</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8.703</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število</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Podatki nacionalne PNR enote in ISCIU, liste prisotnosti na usposabljanjih, anketni listi.</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p>
        </w:tc>
      </w:tr>
    </w:tbl>
    <w:p w:rsidR="00A77B3E">
      <w:pPr>
        <w:spacing w:before="100" w:after="0"/>
        <w:jc w:val="left"/>
        <w:rPr>
          <w:rFonts w:ascii="Times New Roman" w:eastAsia="Times New Roman" w:hAnsi="Times New Roman" w:cs="Times New Roman"/>
          <w:b w:val="0"/>
          <w:i w:val="0"/>
          <w:vanish w:val="0"/>
          <w:color w:val="000000"/>
          <w:sz w:val="20"/>
        </w:rPr>
        <w:sectPr>
          <w:headerReference w:type="even" r:id="rId46"/>
          <w:headerReference w:type="default" r:id="rId47"/>
          <w:footerReference w:type="even" r:id="rId48"/>
          <w:footerReference w:type="default" r:id="rId49"/>
          <w:headerReference w:type="first" r:id="rId50"/>
          <w:footerReference w:type="first" r:id="rId51"/>
          <w:type w:val="nextPage"/>
          <w:pgSz w:w="16838" w:h="11906" w:orient="landscape"/>
          <w:pgMar w:top="720" w:right="720" w:bottom="864" w:left="936" w:header="288" w:footer="72" w:gutter="0"/>
          <w:cols w:space="708"/>
          <w:noEndnote/>
          <w:docGrid w:linePitch="360"/>
        </w:sectPr>
      </w:pPr>
    </w:p>
    <w:p w:rsidR="00A77B3E">
      <w:pPr>
        <w:spacing w:before="100" w:after="0"/>
        <w:jc w:val="left"/>
        <w:rPr>
          <w:rFonts w:ascii="Times New Roman" w:eastAsia="Times New Roman" w:hAnsi="Times New Roman" w:cs="Times New Roman"/>
          <w:b w:val="0"/>
          <w:i w:val="0"/>
          <w:vanish w:val="0"/>
          <w:color w:val="000000"/>
          <w:sz w:val="0"/>
        </w:rPr>
      </w:pPr>
      <w:r>
        <w:rPr>
          <w:rFonts w:ascii="Times New Roman" w:eastAsia="Times New Roman" w:hAnsi="Times New Roman" w:cs="Times New Roman"/>
          <w:b w:val="0"/>
          <w:i w:val="0"/>
          <w:vanish w:val="0"/>
          <w:color w:val="000000"/>
          <w:sz w:val="24"/>
        </w:rPr>
        <w:t>2.1. Specifični cilj 3. Preprečevanje kriminala in boj proti njemu</w:t>
      </w:r>
    </w:p>
    <w:p w:rsidR="00A77B3E">
      <w:pPr>
        <w:pStyle w:val="Heading3"/>
        <w:spacing w:before="100" w:after="0"/>
        <w:jc w:val="left"/>
        <w:rPr>
          <w:rFonts w:ascii="Times New Roman" w:eastAsia="Times New Roman" w:hAnsi="Times New Roman" w:cs="Times New Roman"/>
          <w:b w:val="0"/>
          <w:i w:val="0"/>
          <w:vanish w:val="0"/>
          <w:color w:val="000000"/>
          <w:sz w:val="24"/>
        </w:rPr>
      </w:pPr>
      <w:bookmarkStart w:id="21" w:name="_Toc256000076"/>
      <w:r>
        <w:rPr>
          <w:rFonts w:ascii="Times New Roman" w:eastAsia="Times New Roman" w:hAnsi="Times New Roman" w:cs="Times New Roman"/>
          <w:b w:val="0"/>
          <w:i w:val="0"/>
          <w:vanish w:val="0"/>
          <w:color w:val="000000"/>
          <w:sz w:val="24"/>
        </w:rPr>
        <w:t>2.1.3. Okvirna razčlenitev programskih sredstev (EU) po vrsti ukrepa</w:t>
      </w:r>
      <w:bookmarkEnd w:id="21"/>
    </w:p>
    <w:p w:rsidR="00A77B3E">
      <w:pPr>
        <w:spacing w:before="100" w:after="0"/>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Sklic: člen 22(5) uredbe o skupnih določbah, člen 16(2) uredbe o AMIF, člen 13(12) uredbe o SNV ali člen 13(18) uredbe o IUMV</w:t>
      </w:r>
    </w:p>
    <w:p w:rsidR="00A77B3E">
      <w:pPr>
        <w:pStyle w:val="Heading4"/>
        <w:spacing w:before="100" w:after="0"/>
        <w:jc w:val="left"/>
        <w:rPr>
          <w:rFonts w:ascii="Times New Roman" w:eastAsia="Times New Roman" w:hAnsi="Times New Roman" w:cs="Times New Roman"/>
          <w:b w:val="0"/>
          <w:i w:val="0"/>
          <w:vanish w:val="0"/>
          <w:color w:val="000000"/>
          <w:sz w:val="24"/>
        </w:rPr>
      </w:pPr>
      <w:bookmarkStart w:id="22" w:name="_Toc256000077"/>
      <w:r>
        <w:rPr>
          <w:rFonts w:ascii="Times New Roman" w:eastAsia="Times New Roman" w:hAnsi="Times New Roman" w:cs="Times New Roman"/>
          <w:b w:val="0"/>
          <w:i w:val="0"/>
          <w:vanish w:val="0"/>
          <w:color w:val="000000"/>
          <w:sz w:val="24"/>
        </w:rPr>
        <w:t>Tabela 3: Okvirna razčlenitev</w:t>
      </w:r>
      <w:bookmarkEnd w:id="22"/>
    </w:p>
    <w:p w:rsidR="00A77B3E">
      <w:pPr>
        <w:spacing w:before="100" w:after="0"/>
        <w:jc w:val="left"/>
        <w:rPr>
          <w:rFonts w:ascii="Times New Roman" w:eastAsia="Times New Roman" w:hAnsi="Times New Roman" w:cs="Times New Roman"/>
          <w:b w:val="0"/>
          <w:i w:val="0"/>
          <w:vanish w:val="0"/>
          <w:color w:val="000000"/>
          <w:sz w:val="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1845"/>
        <w:gridCol w:w="10989"/>
        <w:gridCol w:w="2468"/>
      </w:tblGrid>
      <w:tr>
        <w:tblPrEx>
          <w:tblW w:w="5000" w:type="pct"/>
        </w:tblPrEx>
        <w:trPr>
          <w:cantSplit w:val="0"/>
          <w:trHeight w:hRule="auto" w:val="0"/>
          <w:tblHeader/>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Vrsta intervencije</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Oznaka</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Okvirni znesek (v EUR)</w:t>
            </w:r>
          </w:p>
        </w:tc>
      </w:tr>
      <w:tr>
        <w:tblPrEx>
          <w:tblW w:w="5000" w:type="pct"/>
        </w:tblPrEx>
        <w:trPr>
          <w:cantSplit w:val="0"/>
          <w:trHeight w:hRule="auto" w:val="0"/>
          <w:tblHeader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Vrsta ukrepa</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001.Sistemi IKT, interoperabilnost, kakovost podatkov (razen opreme)</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7.550.183,11</w:t>
            </w:r>
          </w:p>
        </w:tc>
      </w:tr>
      <w:tr>
        <w:tblPrEx>
          <w:tblW w:w="5000" w:type="pct"/>
        </w:tblPrEx>
        <w:trPr>
          <w:cantSplit w:val="0"/>
          <w:trHeight w:hRule="auto" w:val="0"/>
          <w:tblHeader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Vrsta ukrepa</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002.Omrežja, centri odličnosti, strukture sodelovanja, skupni ukrepi in operacije</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464.375,00</w:t>
            </w:r>
          </w:p>
        </w:tc>
      </w:tr>
      <w:tr>
        <w:tblPrEx>
          <w:tblW w:w="5000" w:type="pct"/>
        </w:tblPrEx>
        <w:trPr>
          <w:cantSplit w:val="0"/>
          <w:trHeight w:hRule="auto" w:val="0"/>
          <w:tblHeader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Vrsta ukrepa</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003.Skupne preiskovalne skupine ali druge skupne operacije</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125.000,00</w:t>
            </w:r>
          </w:p>
        </w:tc>
      </w:tr>
      <w:tr>
        <w:tblPrEx>
          <w:tblW w:w="5000" w:type="pct"/>
        </w:tblPrEx>
        <w:trPr>
          <w:cantSplit w:val="0"/>
          <w:trHeight w:hRule="auto" w:val="0"/>
          <w:tblHeader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Vrsta ukrepa</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004.Napotitev ali premestitev strokovnjakov</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0,00</w:t>
            </w:r>
          </w:p>
        </w:tc>
      </w:tr>
      <w:tr>
        <w:tblPrEx>
          <w:tblW w:w="5000" w:type="pct"/>
        </w:tblPrEx>
        <w:trPr>
          <w:cantSplit w:val="0"/>
          <w:trHeight w:hRule="auto" w:val="0"/>
          <w:tblHeader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Vrsta ukrepa</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005.Usposabljanje</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1.348.250,00</w:t>
            </w:r>
          </w:p>
        </w:tc>
      </w:tr>
      <w:tr>
        <w:tblPrEx>
          <w:tblW w:w="5000" w:type="pct"/>
        </w:tblPrEx>
        <w:trPr>
          <w:cantSplit w:val="0"/>
          <w:trHeight w:hRule="auto" w:val="0"/>
          <w:tblHeader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Vrsta ukrepa</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006.Izmenjava dobrih praks, delavnice, konference, dogodki, kampanje za ozaveščanje, dejavnosti komuniciranja</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320.925,00</w:t>
            </w:r>
          </w:p>
        </w:tc>
      </w:tr>
      <w:tr>
        <w:tblPrEx>
          <w:tblW w:w="5000" w:type="pct"/>
        </w:tblPrEx>
        <w:trPr>
          <w:cantSplit w:val="0"/>
          <w:trHeight w:hRule="auto" w:val="0"/>
          <w:tblHeader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Vrsta ukrepa</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007.Študije, pilotni projekti, ocene tveganja</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139.000,00</w:t>
            </w:r>
          </w:p>
        </w:tc>
      </w:tr>
      <w:tr>
        <w:tblPrEx>
          <w:tblW w:w="5000" w:type="pct"/>
        </w:tblPrEx>
        <w:trPr>
          <w:cantSplit w:val="0"/>
          <w:trHeight w:hRule="auto" w:val="0"/>
          <w:tblHeader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Vrsta ukrepa</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008.Oprema</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5.167.277,70</w:t>
            </w:r>
          </w:p>
        </w:tc>
      </w:tr>
      <w:tr>
        <w:tblPrEx>
          <w:tblW w:w="5000" w:type="pct"/>
        </w:tblPrEx>
        <w:trPr>
          <w:cantSplit w:val="0"/>
          <w:trHeight w:hRule="auto" w:val="0"/>
          <w:tblHeader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Vrsta ukrepa</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009.Prevozna sredstva</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1.283.758,61</w:t>
            </w:r>
          </w:p>
        </w:tc>
      </w:tr>
      <w:tr>
        <w:tblPrEx>
          <w:tblW w:w="5000" w:type="pct"/>
        </w:tblPrEx>
        <w:trPr>
          <w:cantSplit w:val="0"/>
          <w:trHeight w:hRule="auto" w:val="0"/>
          <w:tblHeader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Vrsta ukrepa</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010.Stavbe, objekti</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695.702,80</w:t>
            </w:r>
          </w:p>
        </w:tc>
      </w:tr>
      <w:tr>
        <w:tblPrEx>
          <w:tblW w:w="5000" w:type="pct"/>
        </w:tblPrEx>
        <w:trPr>
          <w:cantSplit w:val="0"/>
          <w:trHeight w:hRule="auto" w:val="0"/>
          <w:tblHeader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Vrsta ukrepa</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011.Uporaba raziskovalnih projektov ali drugi nadaljnji ukrepi na podlagi teh projektov</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100.000,00</w:t>
            </w:r>
          </w:p>
        </w:tc>
      </w:tr>
    </w:tbl>
    <w:p w:rsidR="00A77B3E">
      <w:pPr>
        <w:spacing w:before="100" w:after="0"/>
        <w:jc w:val="left"/>
        <w:rPr>
          <w:rFonts w:ascii="Times New Roman" w:eastAsia="Times New Roman" w:hAnsi="Times New Roman" w:cs="Times New Roman"/>
          <w:b w:val="0"/>
          <w:i w:val="0"/>
          <w:vanish w:val="0"/>
          <w:color w:val="000000"/>
          <w:sz w:val="20"/>
        </w:rPr>
        <w:sectPr>
          <w:type w:val="nextPage"/>
          <w:pgSz w:w="16838" w:h="11906" w:orient="landscape"/>
          <w:pgMar w:top="720" w:right="720" w:bottom="864" w:left="936" w:header="288" w:footer="72" w:gutter="0"/>
          <w:cols w:space="708"/>
          <w:noEndnote/>
          <w:docGrid w:linePitch="360"/>
        </w:sectPr>
      </w:pPr>
    </w:p>
    <w:p w:rsidR="00A77B3E">
      <w:pPr>
        <w:pStyle w:val="Heading2"/>
        <w:spacing w:before="100" w:after="0"/>
        <w:jc w:val="left"/>
        <w:rPr>
          <w:rFonts w:ascii="TimesNewRoman" w:eastAsia="TimesNewRoman" w:hAnsi="TimesNewRoman" w:cs="TimesNewRoman"/>
          <w:b w:val="0"/>
          <w:i w:val="0"/>
          <w:vanish w:val="0"/>
          <w:color w:val="000000"/>
          <w:sz w:val="24"/>
        </w:rPr>
      </w:pPr>
      <w:bookmarkStart w:id="23" w:name="_Toc256000078"/>
      <w:r>
        <w:rPr>
          <w:rFonts w:ascii="TimesNewRoman" w:eastAsia="TimesNewRoman" w:hAnsi="TimesNewRoman" w:cs="TimesNewRoman"/>
          <w:b w:val="0"/>
          <w:i w:val="0"/>
          <w:vanish w:val="0"/>
          <w:color w:val="000000"/>
          <w:sz w:val="24"/>
        </w:rPr>
        <w:t>2.2. Tehnična pomoč: TA.36(5). Tehnična pomoč – pavšalna stopnja (člen 36(5) uredbe o skupnih določbah)</w:t>
      </w:r>
      <w:bookmarkEnd w:id="23"/>
    </w:p>
    <w:p w:rsidR="00A77B3E">
      <w:pPr>
        <w:spacing w:before="100" w:after="0"/>
        <w:jc w:val="left"/>
        <w:rPr>
          <w:rFonts w:ascii="TimesNewRoman" w:eastAsia="TimesNewRoman" w:hAnsi="TimesNewRoman" w:cs="TimesNewRoman"/>
          <w:b w:val="0"/>
          <w:i w:val="0"/>
          <w:vanish w:val="0"/>
          <w:color w:val="000000"/>
          <w:sz w:val="0"/>
        </w:rPr>
      </w:pPr>
    </w:p>
    <w:p w:rsidR="00A77B3E">
      <w:pPr>
        <w:spacing w:before="100" w:after="0"/>
        <w:jc w:val="left"/>
        <w:rPr>
          <w:rFonts w:ascii="TimesNewRoman" w:eastAsia="TimesNewRoman" w:hAnsi="TimesNewRoman" w:cs="TimesNewRoman"/>
          <w:b w:val="0"/>
          <w:i w:val="0"/>
          <w:vanish w:val="0"/>
          <w:color w:val="000000"/>
          <w:sz w:val="0"/>
        </w:rPr>
      </w:pPr>
      <w:r>
        <w:rPr>
          <w:rFonts w:ascii="TimesNewRoman" w:eastAsia="TimesNewRoman" w:hAnsi="TimesNewRoman" w:cs="TimesNewRoman"/>
          <w:b w:val="0"/>
          <w:i w:val="0"/>
          <w:vanish w:val="0"/>
          <w:color w:val="000000"/>
          <w:sz w:val="24"/>
        </w:rPr>
        <w:t>Sklic: člen 22(3)(f), člen 36(5) ter člena 37 in 95 uredbe o skupnih določbah</w:t>
      </w:r>
    </w:p>
    <w:p w:rsidR="00A77B3E">
      <w:pPr>
        <w:pStyle w:val="Heading3"/>
        <w:spacing w:before="100" w:after="0"/>
        <w:jc w:val="left"/>
        <w:rPr>
          <w:rFonts w:ascii="TimesNewRoman" w:eastAsia="TimesNewRoman" w:hAnsi="TimesNewRoman" w:cs="TimesNewRoman"/>
          <w:b w:val="0"/>
          <w:i w:val="0"/>
          <w:vanish w:val="0"/>
          <w:color w:val="000000"/>
          <w:sz w:val="24"/>
        </w:rPr>
      </w:pPr>
      <w:bookmarkStart w:id="24" w:name="_Toc256000079"/>
      <w:r>
        <w:rPr>
          <w:rFonts w:ascii="TimesNewRoman" w:eastAsia="TimesNewRoman" w:hAnsi="TimesNewRoman" w:cs="TimesNewRoman"/>
          <w:b w:val="0"/>
          <w:i w:val="0"/>
          <w:vanish w:val="0"/>
          <w:color w:val="000000"/>
          <w:sz w:val="24"/>
        </w:rPr>
        <w:t>2.2.1. Opis</w:t>
      </w:r>
      <w:bookmarkEnd w:id="24"/>
    </w:p>
    <w:p w:rsidR="00A77B3E">
      <w:pPr>
        <w:spacing w:before="100" w:after="0"/>
        <w:jc w:val="left"/>
        <w:rPr>
          <w:rFonts w:ascii="TimesNewRoman" w:eastAsia="TimesNewRoman" w:hAnsi="TimesNewRoman" w:cs="TimesNewRoman"/>
          <w:b w:val="0"/>
          <w:i w:val="0"/>
          <w:vanish w:val="0"/>
          <w:color w:val="000000"/>
          <w:sz w:val="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Pr>
      <w:tblGrid>
        <w:gridCol w:w="10240"/>
      </w:tblGrid>
      <w:tr>
        <w:tblPrEx>
          <w:tblW w:w="5000" w:type="pct"/>
          <w:tblLayout w:type="fixed"/>
        </w:tblPrEx>
        <w:trPr>
          <w:cantSplit w:val="0"/>
          <w:trHeight w:hRule="auto" w:val="0"/>
          <w:tblHeader w:val="0"/>
        </w:trPr>
        <w:tc>
          <w:tcPr>
            <w:tcW w:w="50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0"/>
              </w:rPr>
            </w:pP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Sredstva tehnične pomoči (TP) bodo v večini namenjena za krepitev zmogljivosti (tj. plače osebja, izobraževanja in usposabljanja, itd.) v okviru organa upravljanja tj. MNZJU, Služba za evropska sredstva, Projektna enota za sklade notranje varnosti in migracije, ki se bo skladno s povečanim obsegom dodeljenih sredstev in posledično povečanim številom operacij okrepila. Sredstva TP bodo namenjena tudi za delovanje revizijskega organa tj. Ministrstva za finance, Urada za nadzor proračuna ter dveh posredniških teles. To sta Ministrstvo za finance, Direktorat za proračun ter ekonomsko in fiskalno politiko, Sektor za upravljanje s sredstvi EU/CA za izvajanje finančnih transakcij med EU in nacionalnim proračunom ter posredniško telo za operacije, ki se izvajajo na podlagi javnih razpisov. Načrtovani stroški so vezani na stroške osebja, usposabljanj in tekoče stroški delovanja v vseh fazah programiranja (priprava, upravljanje in nadzor, spremljanje in vrednotenje).</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Del sredstev bo namenjen za postavitev, nadgradnjo in vzdrževanje informacijskega sistema MIGRA III, ki je namenjen upravljanju in nadzoru EU sredstev skladov s področja notranje varnosti in migracij. Uporablja se za načrtovanje, izvajanje, spremljanje operacij, tako z vsebinskega, kot tudi finančnega vidika.</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Preko nje bo potekala tudi izmenjava podatkov z aplikacijo SFC21 in bo osnova za pripravo vseh poročil. Dostop bodo imeli tako upravičenci, kot tudi drugi organi v sistemu upravljanja in nadzora.</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Manjši del sredstev pa bo namenjen področju obveščanja in objavljanja ter študijam in evalvacijam.</w:t>
            </w:r>
          </w:p>
          <w:p w:rsidR="00A77B3E">
            <w:pPr>
              <w:spacing w:before="100" w:after="0"/>
              <w:jc w:val="left"/>
              <w:rPr>
                <w:rFonts w:ascii="TimesNewRoman" w:eastAsia="TimesNewRoman" w:hAnsi="TimesNewRoman" w:cs="TimesNewRoman"/>
                <w:b w:val="0"/>
                <w:i w:val="0"/>
                <w:vanish w:val="0"/>
                <w:color w:val="000000"/>
                <w:sz w:val="6"/>
              </w:rPr>
            </w:pPr>
          </w:p>
          <w:p w:rsidR="00A77B3E">
            <w:pPr>
              <w:spacing w:before="100" w:after="0"/>
              <w:jc w:val="left"/>
              <w:rPr>
                <w:rFonts w:ascii="TimesNewRoman" w:eastAsia="TimesNewRoman" w:hAnsi="TimesNewRoman" w:cs="TimesNewRoman"/>
                <w:b w:val="0"/>
                <w:i w:val="0"/>
                <w:vanish w:val="0"/>
                <w:color w:val="000000"/>
                <w:sz w:val="6"/>
              </w:rPr>
            </w:pPr>
          </w:p>
        </w:tc>
      </w:tr>
    </w:tbl>
    <w:p w:rsidR="00A77B3E">
      <w:pPr>
        <w:spacing w:before="100" w:after="0"/>
        <w:jc w:val="left"/>
        <w:rPr>
          <w:rFonts w:ascii="TimesNewRoman" w:eastAsia="TimesNewRoman" w:hAnsi="TimesNewRoman" w:cs="TimesNewRoman"/>
          <w:b w:val="0"/>
          <w:i w:val="0"/>
          <w:vanish w:val="0"/>
          <w:color w:val="000000"/>
          <w:sz w:val="24"/>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orient="portrait"/>
          <w:pgMar w:top="720" w:right="936" w:bottom="864" w:left="720" w:header="0" w:footer="72" w:gutter="0"/>
          <w:cols w:space="708"/>
          <w:noEndnote/>
          <w:docGrid w:linePitch="360"/>
        </w:sectPr>
      </w:pPr>
    </w:p>
    <w:p w:rsidR="00A77B3E">
      <w:pPr>
        <w:spacing w:before="100" w:after="0"/>
        <w:jc w:val="left"/>
        <w:rPr>
          <w:rFonts w:ascii="Times New Roman" w:eastAsia="Times New Roman" w:hAnsi="Times New Roman" w:cs="Times New Roman"/>
          <w:b w:val="0"/>
          <w:i w:val="0"/>
          <w:vanish w:val="0"/>
          <w:color w:val="000000"/>
          <w:sz w:val="0"/>
        </w:rPr>
      </w:pPr>
      <w:r>
        <w:rPr>
          <w:rFonts w:ascii="Times New Roman" w:eastAsia="Times New Roman" w:hAnsi="Times New Roman" w:cs="Times New Roman"/>
          <w:b w:val="0"/>
          <w:i w:val="0"/>
          <w:vanish w:val="0"/>
          <w:color w:val="000000"/>
          <w:sz w:val="24"/>
        </w:rPr>
        <w:t>2.2. Tehnična pomoč TA.36(5). Tehnična pomoč – pavšalna stopnja (člen 36(5) uredbe o skupnih določbah)</w:t>
      </w:r>
    </w:p>
    <w:p w:rsidR="00A77B3E">
      <w:pPr>
        <w:pStyle w:val="Heading3"/>
        <w:spacing w:before="100" w:after="0"/>
        <w:jc w:val="left"/>
        <w:rPr>
          <w:rFonts w:ascii="Times New Roman" w:eastAsia="Times New Roman" w:hAnsi="Times New Roman" w:cs="Times New Roman"/>
          <w:b w:val="0"/>
          <w:i w:val="0"/>
          <w:vanish w:val="0"/>
          <w:color w:val="000000"/>
          <w:sz w:val="24"/>
        </w:rPr>
      </w:pPr>
      <w:bookmarkStart w:id="25" w:name="_Toc256000080"/>
      <w:r>
        <w:rPr>
          <w:rFonts w:ascii="Times New Roman" w:eastAsia="Times New Roman" w:hAnsi="Times New Roman" w:cs="Times New Roman"/>
          <w:b w:val="0"/>
          <w:i w:val="0"/>
          <w:vanish w:val="0"/>
          <w:color w:val="000000"/>
          <w:sz w:val="24"/>
        </w:rPr>
        <w:t>2.2.2. Okvirna razčlenitev tehnične pomoči v skladu s členom 37 uredbe o skupnih določbah</w:t>
      </w:r>
      <w:bookmarkEnd w:id="25"/>
    </w:p>
    <w:p w:rsidR="00A77B3E">
      <w:pPr>
        <w:pStyle w:val="Heading4"/>
        <w:spacing w:before="100" w:after="0"/>
        <w:jc w:val="left"/>
        <w:rPr>
          <w:rFonts w:ascii="Times New Roman" w:eastAsia="Times New Roman" w:hAnsi="Times New Roman" w:cs="Times New Roman"/>
          <w:b w:val="0"/>
          <w:i w:val="0"/>
          <w:vanish w:val="0"/>
          <w:color w:val="000000"/>
          <w:sz w:val="24"/>
        </w:rPr>
      </w:pPr>
      <w:bookmarkStart w:id="26" w:name="_Toc256000081"/>
      <w:r>
        <w:rPr>
          <w:rFonts w:ascii="Times New Roman" w:eastAsia="Times New Roman" w:hAnsi="Times New Roman" w:cs="Times New Roman"/>
          <w:b w:val="0"/>
          <w:i w:val="0"/>
          <w:vanish w:val="0"/>
          <w:color w:val="000000"/>
          <w:sz w:val="24"/>
        </w:rPr>
        <w:t>Tabela 4: Okvirna razčlenitev</w:t>
      </w:r>
      <w:bookmarkEnd w:id="26"/>
    </w:p>
    <w:p w:rsidR="00A77B3E">
      <w:pPr>
        <w:spacing w:before="100" w:after="0"/>
        <w:jc w:val="left"/>
        <w:rPr>
          <w:rFonts w:ascii="Times New Roman" w:eastAsia="Times New Roman" w:hAnsi="Times New Roman" w:cs="Times New Roman"/>
          <w:b w:val="0"/>
          <w:i w:val="0"/>
          <w:vanish w:val="0"/>
          <w:color w:val="000000"/>
          <w:sz w:val="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2404"/>
        <w:gridCol w:w="5238"/>
        <w:gridCol w:w="2728"/>
      </w:tblGrid>
      <w:tr>
        <w:tblPrEx>
          <w:tblW w:w="5000" w:type="pct"/>
        </w:tblPrEx>
        <w:trPr>
          <w:cantSplit w:val="0"/>
          <w:trHeight w:hRule="auto" w:val="0"/>
          <w:tblHeader/>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Vrsta intervencije</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Oznaka</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Okvirni znesek (v EUR)</w:t>
            </w:r>
          </w:p>
        </w:tc>
      </w:tr>
      <w:tr>
        <w:tblPrEx>
          <w:tblW w:w="5000" w:type="pct"/>
        </w:tblPrEx>
        <w:trPr>
          <w:cantSplit w:val="0"/>
          <w:trHeight w:hRule="auto" w:val="0"/>
          <w:tblHeader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Področje intervencije</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034.Informacijske in komunikacijske dejavnosti</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80.000,00</w:t>
            </w:r>
          </w:p>
        </w:tc>
      </w:tr>
      <w:tr>
        <w:tblPrEx>
          <w:tblW w:w="5000" w:type="pct"/>
        </w:tblPrEx>
        <w:trPr>
          <w:cantSplit w:val="0"/>
          <w:trHeight w:hRule="auto" w:val="0"/>
          <w:tblHeader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Področje intervencije</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035.Priprava, izvajanje, spremljanje in nadzor</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1.861.298,35</w:t>
            </w:r>
          </w:p>
        </w:tc>
      </w:tr>
      <w:tr>
        <w:tblPrEx>
          <w:tblW w:w="5000" w:type="pct"/>
        </w:tblPrEx>
        <w:trPr>
          <w:cantSplit w:val="0"/>
          <w:trHeight w:hRule="auto" w:val="0"/>
          <w:tblHeader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Področje intervencije</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036.Ocenjevanje in študije, zbiranje podatkov</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200.000,00</w:t>
            </w:r>
          </w:p>
        </w:tc>
      </w:tr>
      <w:tr>
        <w:tblPrEx>
          <w:tblW w:w="5000" w:type="pct"/>
        </w:tblPrEx>
        <w:trPr>
          <w:cantSplit w:val="0"/>
          <w:trHeight w:hRule="auto" w:val="0"/>
          <w:tblHeader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Področje intervencije</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037.Krepitev zmogljivosti</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0,00</w:t>
            </w:r>
          </w:p>
        </w:tc>
      </w:tr>
    </w:tbl>
    <w:p w:rsidR="00A77B3E">
      <w:pPr>
        <w:spacing w:before="100" w:after="0"/>
        <w:jc w:val="left"/>
        <w:rPr>
          <w:rFonts w:ascii="Times New Roman" w:eastAsia="Times New Roman" w:hAnsi="Times New Roman" w:cs="Times New Roman"/>
          <w:b w:val="0"/>
          <w:i w:val="0"/>
          <w:vanish w:val="0"/>
          <w:color w:val="000000"/>
          <w:sz w:val="20"/>
        </w:rPr>
        <w:sectPr>
          <w:type w:val="nextPage"/>
          <w:pgSz w:w="11906" w:h="16838" w:orient="portrait"/>
          <w:pgMar w:top="720" w:right="936" w:bottom="864" w:left="720" w:header="0" w:footer="72" w:gutter="0"/>
          <w:cols w:space="708"/>
          <w:noEndnote/>
          <w:docGrid w:linePitch="360"/>
        </w:sectPr>
      </w:pPr>
    </w:p>
    <w:p w:rsidR="00A77B3E">
      <w:pPr>
        <w:pStyle w:val="Heading1"/>
        <w:spacing w:before="100" w:after="0"/>
        <w:jc w:val="left"/>
        <w:rPr>
          <w:rFonts w:ascii="Times New Roman" w:eastAsia="Times New Roman" w:hAnsi="Times New Roman" w:cs="Times New Roman"/>
          <w:b w:val="0"/>
          <w:i w:val="0"/>
          <w:vanish w:val="0"/>
          <w:color w:val="000000"/>
          <w:sz w:val="24"/>
        </w:rPr>
      </w:pPr>
      <w:bookmarkStart w:id="27" w:name="_Toc256000082"/>
      <w:r>
        <w:rPr>
          <w:rFonts w:ascii="Times New Roman" w:eastAsia="Times New Roman" w:hAnsi="Times New Roman" w:cs="Times New Roman"/>
          <w:b w:val="0"/>
          <w:i w:val="0"/>
          <w:vanish w:val="0"/>
          <w:color w:val="000000"/>
          <w:sz w:val="24"/>
        </w:rPr>
        <w:t>3. Načrt financiranja</w:t>
      </w:r>
      <w:bookmarkEnd w:id="27"/>
    </w:p>
    <w:p w:rsidR="00A77B3E">
      <w:pPr>
        <w:spacing w:before="100" w:after="0"/>
        <w:jc w:val="left"/>
        <w:rPr>
          <w:rFonts w:ascii="Times New Roman" w:eastAsia="Times New Roman" w:hAnsi="Times New Roman" w:cs="Times New Roman"/>
          <w:b w:val="0"/>
          <w:i w:val="0"/>
          <w:vanish w:val="0"/>
          <w:color w:val="000000"/>
          <w:sz w:val="12"/>
        </w:rPr>
      </w:pPr>
      <w:r>
        <w:rPr>
          <w:rFonts w:ascii="Times New Roman" w:eastAsia="Times New Roman" w:hAnsi="Times New Roman" w:cs="Times New Roman"/>
          <w:b w:val="0"/>
          <w:i w:val="0"/>
          <w:vanish w:val="0"/>
          <w:color w:val="000000"/>
          <w:sz w:val="24"/>
        </w:rPr>
        <w:t>Sklic: člen 22(3)(g) uredbe o skupnih določbah</w:t>
      </w:r>
    </w:p>
    <w:p w:rsidR="00A77B3E">
      <w:pPr>
        <w:pStyle w:val="Heading2"/>
        <w:spacing w:before="100" w:after="0"/>
        <w:jc w:val="left"/>
        <w:rPr>
          <w:rFonts w:ascii="TimesNewRoman" w:eastAsia="TimesNewRoman" w:hAnsi="TimesNewRoman" w:cs="TimesNewRoman"/>
          <w:b w:val="0"/>
          <w:i w:val="0"/>
          <w:vanish w:val="0"/>
          <w:color w:val="000000"/>
          <w:sz w:val="24"/>
        </w:rPr>
      </w:pPr>
      <w:bookmarkStart w:id="28" w:name="_Toc256000083"/>
      <w:r>
        <w:rPr>
          <w:rFonts w:ascii="TimesNewRoman" w:eastAsia="TimesNewRoman" w:hAnsi="TimesNewRoman" w:cs="TimesNewRoman"/>
          <w:b w:val="0"/>
          <w:i w:val="0"/>
          <w:vanish w:val="0"/>
          <w:color w:val="000000"/>
          <w:sz w:val="24"/>
        </w:rPr>
        <w:t>3.1. Finančna sredstva po letih</w:t>
      </w:r>
      <w:bookmarkEnd w:id="28"/>
    </w:p>
    <w:p w:rsidR="00A77B3E">
      <w:pPr>
        <w:pStyle w:val="Heading4"/>
        <w:spacing w:before="100" w:after="0"/>
        <w:jc w:val="left"/>
        <w:rPr>
          <w:rFonts w:ascii="TimesNewRoman" w:eastAsia="TimesNewRoman" w:hAnsi="TimesNewRoman" w:cs="TimesNewRoman"/>
          <w:b w:val="0"/>
          <w:i w:val="0"/>
          <w:vanish w:val="0"/>
          <w:color w:val="000000"/>
          <w:sz w:val="24"/>
        </w:rPr>
      </w:pPr>
      <w:bookmarkStart w:id="29" w:name="_Toc256000084"/>
      <w:r>
        <w:rPr>
          <w:rFonts w:ascii="TimesNewRoman" w:eastAsia="TimesNewRoman" w:hAnsi="TimesNewRoman" w:cs="TimesNewRoman"/>
          <w:b w:val="0"/>
          <w:i w:val="0"/>
          <w:vanish w:val="0"/>
          <w:color w:val="000000"/>
          <w:sz w:val="24"/>
        </w:rPr>
        <w:t>Tabela 5: Finančna sredstva po letih</w:t>
      </w:r>
      <w:bookmarkEnd w:id="2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3553"/>
        <w:gridCol w:w="1419"/>
        <w:gridCol w:w="1419"/>
        <w:gridCol w:w="1418"/>
        <w:gridCol w:w="1418"/>
        <w:gridCol w:w="1418"/>
        <w:gridCol w:w="1418"/>
        <w:gridCol w:w="1418"/>
        <w:gridCol w:w="1821"/>
      </w:tblGrid>
      <w:tr>
        <w:tblPrEx>
          <w:tblW w:w="5000" w:type="pct"/>
        </w:tblPrEx>
        <w:trPr>
          <w:cantSplit w:val="0"/>
          <w:trHeight w:hRule="auto" w:val="0"/>
          <w:tblHeader/>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Vrsta dodelitve</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2021</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2022</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2023</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2024</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2025</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2026</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2027</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Skupaj</w:t>
            </w:r>
          </w:p>
        </w:tc>
      </w:tr>
    </w:tbl>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16"/>
        </w:rPr>
        <w:br w:type="page"/>
      </w:r>
    </w:p>
    <w:p w:rsidR="00A77B3E">
      <w:pPr>
        <w:pStyle w:val="Heading2"/>
        <w:spacing w:before="100" w:after="0"/>
        <w:jc w:val="left"/>
        <w:rPr>
          <w:rFonts w:ascii="TimesNewRoman" w:eastAsia="TimesNewRoman" w:hAnsi="TimesNewRoman" w:cs="TimesNewRoman"/>
          <w:b w:val="0"/>
          <w:i w:val="0"/>
          <w:vanish w:val="0"/>
          <w:color w:val="000000"/>
          <w:sz w:val="24"/>
        </w:rPr>
      </w:pPr>
      <w:bookmarkStart w:id="30" w:name="_Toc256000085"/>
      <w:r>
        <w:rPr>
          <w:rFonts w:ascii="TimesNewRoman" w:eastAsia="TimesNewRoman" w:hAnsi="TimesNewRoman" w:cs="TimesNewRoman"/>
          <w:b w:val="0"/>
          <w:i w:val="0"/>
          <w:vanish w:val="0"/>
          <w:color w:val="000000"/>
          <w:sz w:val="24"/>
        </w:rPr>
        <w:t>3.2. Skupna dodelitev finančnih sredstev</w:t>
      </w:r>
      <w:bookmarkEnd w:id="30"/>
    </w:p>
    <w:p w:rsidR="00A77B3E">
      <w:pPr>
        <w:pStyle w:val="Heading4"/>
        <w:spacing w:before="100" w:after="0"/>
        <w:jc w:val="left"/>
        <w:rPr>
          <w:rFonts w:ascii="TimesNewRoman" w:eastAsia="TimesNewRoman" w:hAnsi="TimesNewRoman" w:cs="TimesNewRoman"/>
          <w:b w:val="0"/>
          <w:i w:val="0"/>
          <w:vanish w:val="0"/>
          <w:color w:val="000000"/>
          <w:sz w:val="24"/>
        </w:rPr>
      </w:pPr>
      <w:bookmarkStart w:id="31" w:name="_Toc256000086"/>
      <w:r>
        <w:rPr>
          <w:rFonts w:ascii="TimesNewRoman" w:eastAsia="TimesNewRoman" w:hAnsi="TimesNewRoman" w:cs="TimesNewRoman"/>
          <w:b w:val="0"/>
          <w:i w:val="0"/>
          <w:vanish w:val="0"/>
          <w:color w:val="000000"/>
          <w:sz w:val="24"/>
        </w:rPr>
        <w:t>Tabela 6: Skupna dodelitev finančnih sredstev po skladih in nacionalni prispevek</w:t>
      </w:r>
      <w:bookmarkEnd w:id="3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3061"/>
        <w:gridCol w:w="1531"/>
        <w:gridCol w:w="1530"/>
        <w:gridCol w:w="1530"/>
        <w:gridCol w:w="1530"/>
        <w:gridCol w:w="1530"/>
        <w:gridCol w:w="1530"/>
        <w:gridCol w:w="1530"/>
        <w:gridCol w:w="1530"/>
      </w:tblGrid>
      <w:tr>
        <w:tblPrEx>
          <w:tblW w:w="5000" w:type="pct"/>
        </w:tblPrEx>
        <w:trPr>
          <w:cantSplit w:val="0"/>
          <w:trHeight w:hRule="auto" w:val="0"/>
          <w:tblHeader/>
        </w:trPr>
        <w:tc>
          <w:tcPr>
            <w:tcW w:w="1000" w:type="pct"/>
            <w:vMerge w:val="restar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Specifični cilji (SC)</w:t>
            </w:r>
          </w:p>
        </w:tc>
        <w:tc>
          <w:tcPr>
            <w:tcW w:w="500" w:type="pct"/>
            <w:vMerge w:val="restar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Vrsta ukrepa</w:t>
            </w:r>
          </w:p>
        </w:tc>
        <w:tc>
          <w:tcPr>
            <w:tcW w:w="500" w:type="pct"/>
            <w:vMerge w:val="restar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Osnova za izračun podpore Unije (skupne ali javne)</w:t>
            </w:r>
          </w:p>
        </w:tc>
        <w:tc>
          <w:tcPr>
            <w:tcW w:w="500" w:type="pct"/>
            <w:vMerge w:val="restar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Prispevek Unije (a)</w:t>
            </w:r>
          </w:p>
        </w:tc>
        <w:tc>
          <w:tcPr>
            <w:tcW w:w="500" w:type="pct"/>
            <w:vMerge w:val="restar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Nacionalni prispevek (b) = (c) + (d)</w:t>
            </w:r>
          </w:p>
        </w:tc>
        <w:tc>
          <w:tcPr>
            <w:tcW w:w="500" w:type="pct"/>
            <w:gridSpan w:val="2"/>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Okvirna razčlenitev nacionalnega prispevka</w:t>
            </w:r>
          </w:p>
        </w:tc>
        <w:tc>
          <w:tcPr>
            <w:tcW w:w="500" w:type="pct"/>
            <w:vMerge w:val="restar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Skupaj (e) = (a) + (b)</w:t>
            </w:r>
          </w:p>
        </w:tc>
        <w:tc>
          <w:tcPr>
            <w:tcW w:w="500" w:type="pct"/>
            <w:vMerge w:val="restar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Stopnja sofinanciranja (f) = (a) / (e)</w:t>
            </w:r>
          </w:p>
        </w:tc>
      </w:tr>
      <w:tr>
        <w:tblPrEx>
          <w:tblW w:w="5000" w:type="pct"/>
        </w:tblPrEx>
        <w:trPr>
          <w:cantSplit w:val="0"/>
          <w:trHeight w:hRule="auto" w:val="0"/>
          <w:tblHeader/>
        </w:trPr>
        <w:tc>
          <w:tcPr>
            <w:tcW w:w="500" w:type="pct"/>
            <w:vMerge/>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NewRoman" w:eastAsia="TimesNewRoman" w:hAnsi="TimesNewRoman" w:cs="TimesNewRoman"/>
                <w:b w:val="0"/>
                <w:i w:val="0"/>
                <w:vanish w:val="0"/>
                <w:color w:val="000000"/>
                <w:sz w:val="16"/>
              </w:rPr>
            </w:pPr>
          </w:p>
        </w:tc>
        <w:tc>
          <w:tcPr>
            <w:tcW w:w="500" w:type="pct"/>
            <w:vMerge/>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NewRoman" w:eastAsia="TimesNewRoman" w:hAnsi="TimesNewRoman" w:cs="TimesNewRoman"/>
                <w:b w:val="0"/>
                <w:i w:val="0"/>
                <w:vanish w:val="0"/>
                <w:color w:val="000000"/>
                <w:sz w:val="16"/>
              </w:rPr>
            </w:pPr>
          </w:p>
        </w:tc>
        <w:tc>
          <w:tcPr>
            <w:tcW w:w="500" w:type="pct"/>
            <w:vMerge/>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NewRoman" w:eastAsia="TimesNewRoman" w:hAnsi="TimesNewRoman" w:cs="TimesNewRoman"/>
                <w:b w:val="0"/>
                <w:i w:val="0"/>
                <w:vanish w:val="0"/>
                <w:color w:val="000000"/>
                <w:sz w:val="16"/>
              </w:rPr>
            </w:pPr>
          </w:p>
        </w:tc>
        <w:tc>
          <w:tcPr>
            <w:tcW w:w="500" w:type="pct"/>
            <w:vMerge/>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NewRoman" w:eastAsia="TimesNewRoman" w:hAnsi="TimesNewRoman" w:cs="TimesNewRoman"/>
                <w:b w:val="0"/>
                <w:i w:val="0"/>
                <w:vanish w:val="0"/>
                <w:color w:val="000000"/>
                <w:sz w:val="16"/>
              </w:rPr>
            </w:pPr>
          </w:p>
        </w:tc>
        <w:tc>
          <w:tcPr>
            <w:tcW w:w="500" w:type="pct"/>
            <w:vMerge/>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NewRoman" w:eastAsia="TimesNewRoman" w:hAnsi="TimesNewRoman" w:cs="TimesNewRoman"/>
                <w:b w:val="0"/>
                <w:i w:val="0"/>
                <w:vanish w:val="0"/>
                <w:color w:val="000000"/>
                <w:sz w:val="16"/>
              </w:rPr>
            </w:pP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Javno (c)</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Zasebno (d)</w:t>
            </w:r>
          </w:p>
        </w:tc>
        <w:tc>
          <w:tcPr>
            <w:tcW w:w="500" w:type="pct"/>
            <w:vMerge/>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NewRoman" w:eastAsia="TimesNewRoman" w:hAnsi="TimesNewRoman" w:cs="TimesNewRoman"/>
                <w:b w:val="0"/>
                <w:i w:val="0"/>
                <w:vanish w:val="0"/>
                <w:color w:val="000000"/>
                <w:sz w:val="16"/>
              </w:rPr>
            </w:pPr>
          </w:p>
        </w:tc>
        <w:tc>
          <w:tcPr>
            <w:tcW w:w="500" w:type="pct"/>
            <w:vMerge/>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NewRoman" w:eastAsia="TimesNewRoman" w:hAnsi="TimesNewRoman" w:cs="TimesNewRoman"/>
                <w:b w:val="0"/>
                <w:i w:val="0"/>
                <w:vanish w:val="0"/>
                <w:color w:val="000000"/>
                <w:sz w:val="16"/>
              </w:rPr>
            </w:pPr>
          </w:p>
        </w:tc>
      </w:tr>
      <w:tr>
        <w:tblPrEx>
          <w:tblW w:w="5000" w:type="pct"/>
        </w:tblPrEx>
        <w:trPr>
          <w:cantSplit w:val="0"/>
          <w:trHeight w:hRule="auto" w:val="0"/>
          <w:tblHeader w:val="0"/>
        </w:trPr>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Izmenjava informacij</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Redni ukrepi</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Skupaj</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7.079.833,92</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2.359.944,64</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2.359.944,64</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9.439.778,56</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75,0000000000%</w:t>
            </w:r>
          </w:p>
        </w:tc>
      </w:tr>
      <w:tr>
        <w:tblPrEx>
          <w:tblW w:w="5000" w:type="pct"/>
        </w:tblPrEx>
        <w:trPr>
          <w:cantSplit w:val="0"/>
          <w:trHeight w:hRule="auto" w:val="0"/>
          <w:tblHeader w:val="0"/>
        </w:trPr>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Izmenjava informacij</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Ukrepi iz Priloge IV</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Skupaj</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570.000,00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63.333,34</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63.333,34</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633.333,34</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89,9999990526%</w:t>
            </w:r>
          </w:p>
        </w:tc>
      </w:tr>
      <w:tr>
        <w:tblPrEx>
          <w:tblW w:w="5000" w:type="pct"/>
        </w:tblPrEx>
        <w:trPr>
          <w:cantSplit w:val="0"/>
          <w:trHeight w:hRule="auto" w:val="0"/>
          <w:tblHeader w:val="0"/>
        </w:trPr>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Izmenjava informacij</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Operativna podpora</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Skupaj</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2.529.999,80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2.529.999,80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100,0000000000%</w:t>
            </w:r>
          </w:p>
        </w:tc>
      </w:tr>
      <w:tr>
        <w:tblPrEx>
          <w:tblW w:w="5000" w:type="pct"/>
        </w:tblPrEx>
        <w:trPr>
          <w:cantSplit w:val="0"/>
          <w:trHeight w:hRule="auto" w:val="0"/>
          <w:tblHeader w:val="0"/>
        </w:trPr>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Skupaj Izmenjava informacij</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rPr>
            </w:pP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rPr>
            </w:pP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10.179.833,72</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2.423.277,98</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2.423.277,98</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12.603.111,70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80,7723835376%</w:t>
            </w:r>
          </w:p>
        </w:tc>
      </w:tr>
      <w:tr>
        <w:tblPrEx>
          <w:tblW w:w="5000" w:type="pct"/>
        </w:tblPrEx>
        <w:trPr>
          <w:cantSplit w:val="0"/>
          <w:trHeight w:hRule="auto" w:val="0"/>
          <w:tblHeader w:val="0"/>
        </w:trPr>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Čezmejno sodelovanje</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Redni ukrepi</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Skupaj</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8.260.000,00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2.753.333,34</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2.753.333,34</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11.013.333,34</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74,9999999546%</w:t>
            </w:r>
          </w:p>
        </w:tc>
      </w:tr>
      <w:tr>
        <w:tblPrEx>
          <w:tblW w:w="5000" w:type="pct"/>
        </w:tblPrEx>
        <w:trPr>
          <w:cantSplit w:val="0"/>
          <w:trHeight w:hRule="auto" w:val="0"/>
          <w:tblHeader w:val="0"/>
        </w:trPr>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Čezmejno sodelovanje</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Posebni ukrepi</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Skupaj</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54.000,00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6.000,00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6.000,00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60.000,00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90,0000000000%</w:t>
            </w:r>
          </w:p>
        </w:tc>
      </w:tr>
      <w:tr>
        <w:tblPrEx>
          <w:tblW w:w="5000" w:type="pct"/>
        </w:tblPrEx>
        <w:trPr>
          <w:cantSplit w:val="0"/>
          <w:trHeight w:hRule="auto" w:val="0"/>
          <w:tblHeader w:val="0"/>
        </w:trPr>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Čezmejno sodelovanje</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Ukrepi iz Priloge IV</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Skupaj</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p>
        </w:tc>
      </w:tr>
      <w:tr>
        <w:tblPrEx>
          <w:tblW w:w="5000" w:type="pct"/>
        </w:tblPrEx>
        <w:trPr>
          <w:cantSplit w:val="0"/>
          <w:trHeight w:hRule="auto" w:val="0"/>
          <w:tblHeader w:val="0"/>
        </w:trPr>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Skupaj Čezmejno sodelovanje</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rPr>
            </w:pP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rPr>
            </w:pP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8.314.000,00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2.759.333,34</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2.759.333,34</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11.073.333,34</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75,0812762944%</w:t>
            </w:r>
          </w:p>
        </w:tc>
      </w:tr>
      <w:tr>
        <w:tblPrEx>
          <w:tblW w:w="5000" w:type="pct"/>
        </w:tblPrEx>
        <w:trPr>
          <w:cantSplit w:val="0"/>
          <w:trHeight w:hRule="auto" w:val="0"/>
          <w:tblHeader w:val="0"/>
        </w:trPr>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Preprečevanje kriminala in boj proti njemu</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Redni ukrepi</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Skupaj</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13.736.814,21</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4.675.604,74</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4.675.604,74</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18.412.418,95</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74,6062440101%</w:t>
            </w:r>
          </w:p>
        </w:tc>
      </w:tr>
      <w:tr>
        <w:tblPrEx>
          <w:tblW w:w="5000" w:type="pct"/>
        </w:tblPrEx>
        <w:trPr>
          <w:cantSplit w:val="0"/>
          <w:trHeight w:hRule="auto" w:val="0"/>
          <w:tblHeader w:val="0"/>
        </w:trPr>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Preprečevanje kriminala in boj proti njemu</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Ukrepi iz Priloge IV</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Skupaj</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3.457.658,01</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384.184,23</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384.184,23</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3.841.842,24</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89,9999998438%</w:t>
            </w:r>
          </w:p>
        </w:tc>
      </w:tr>
      <w:tr>
        <w:tblPrEx>
          <w:tblW w:w="5000" w:type="pct"/>
        </w:tblPrEx>
        <w:trPr>
          <w:cantSplit w:val="0"/>
          <w:trHeight w:hRule="auto" w:val="0"/>
          <w:tblHeader w:val="0"/>
        </w:trPr>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Skupaj Preprečevanje kriminala in boj proti njemu</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rPr>
            </w:pP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rPr>
            </w:pP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17.194.472,22</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5.059.788,97</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5.059.788,97</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22.254.261,19</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77,2637297334%</w:t>
            </w:r>
          </w:p>
        </w:tc>
      </w:tr>
      <w:tr>
        <w:tblPrEx>
          <w:tblW w:w="5000" w:type="pct"/>
        </w:tblPrEx>
        <w:trPr>
          <w:cantSplit w:val="0"/>
          <w:trHeight w:hRule="auto" w:val="0"/>
          <w:tblHeader w:val="0"/>
        </w:trPr>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Tehnična pomoč – pavšalna stopnja (člen 36(5) uredbe o skupnih določbah)</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rPr>
            </w:pP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rPr>
            </w:pP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2.141.298,35</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2.141.298,35</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100,0000000000%</w:t>
            </w:r>
          </w:p>
        </w:tc>
      </w:tr>
      <w:tr>
        <w:tblPrEx>
          <w:tblW w:w="5000" w:type="pct"/>
        </w:tblPrEx>
        <w:trPr>
          <w:cantSplit w:val="0"/>
          <w:trHeight w:hRule="auto" w:val="0"/>
          <w:tblHeader w:val="0"/>
        </w:trPr>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Skupaj</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rPr>
            </w:pP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rPr>
            </w:pP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37.829.604,29</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10.242.400,29</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10.242.400,29</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48.072.004,58</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78,6936276540%</w:t>
            </w:r>
          </w:p>
        </w:tc>
      </w:tr>
    </w:tbl>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16"/>
        </w:rPr>
        <w:br w:type="page"/>
      </w:r>
    </w:p>
    <w:p w:rsidR="00A77B3E">
      <w:pPr>
        <w:pStyle w:val="Heading2"/>
        <w:spacing w:before="100" w:after="0"/>
        <w:jc w:val="left"/>
        <w:rPr>
          <w:rFonts w:ascii="TimesNewRoman" w:eastAsia="TimesNewRoman" w:hAnsi="TimesNewRoman" w:cs="TimesNewRoman"/>
          <w:b w:val="0"/>
          <w:i w:val="0"/>
          <w:vanish w:val="0"/>
          <w:color w:val="000000"/>
          <w:sz w:val="24"/>
        </w:rPr>
      </w:pPr>
      <w:bookmarkStart w:id="32" w:name="_Toc256000087"/>
      <w:r>
        <w:rPr>
          <w:rFonts w:ascii="TimesNewRoman" w:eastAsia="TimesNewRoman" w:hAnsi="TimesNewRoman" w:cs="TimesNewRoman"/>
          <w:b w:val="0"/>
          <w:i w:val="0"/>
          <w:vanish w:val="0"/>
          <w:color w:val="000000"/>
          <w:sz w:val="24"/>
        </w:rPr>
        <w:t>3.3. Prerazporeditve</w:t>
      </w:r>
      <w:bookmarkEnd w:id="32"/>
    </w:p>
    <w:p w:rsidR="00A77B3E">
      <w:pPr>
        <w:spacing w:before="100" w:after="0"/>
        <w:jc w:val="left"/>
        <w:rPr>
          <w:rFonts w:ascii="TimesNewRoman" w:eastAsia="TimesNewRoman" w:hAnsi="TimesNewRoman" w:cs="TimesNewRoman"/>
          <w:b w:val="0"/>
          <w:i w:val="0"/>
          <w:vanish w:val="0"/>
          <w:color w:val="000000"/>
          <w:sz w:val="0"/>
          <w:vertAlign w:val="baseline"/>
        </w:rPr>
      </w:pPr>
      <w:r>
        <w:rPr>
          <w:rFonts w:ascii="TimesNewRoman" w:eastAsia="TimesNewRoman" w:hAnsi="TimesNewRoman" w:cs="TimesNewRoman"/>
          <w:b w:val="0"/>
          <w:i w:val="0"/>
          <w:vanish w:val="0"/>
          <w:color w:val="000000"/>
          <w:sz w:val="24"/>
        </w:rPr>
        <w:t>Tabela 7: Prerazporeditve med skladi z deljenim upravljanjem</w:t>
      </w:r>
      <w:r>
        <w:rPr>
          <w:rFonts w:ascii="TimesNewRoman" w:eastAsia="TimesNewRoman" w:hAnsi="TimesNewRoman" w:cs="TimesNewRoman"/>
          <w:b w:val="0"/>
          <w:i w:val="0"/>
          <w:vanish w:val="0"/>
          <w:color w:val="000000"/>
          <w:sz w:val="24"/>
          <w:vertAlign w:val="superscript"/>
        </w:rPr>
        <w:t>1</w:t>
      </w:r>
    </w:p>
    <w:p w:rsidR="00A77B3E">
      <w:pPr>
        <w:spacing w:before="100" w:after="0"/>
        <w:jc w:val="left"/>
        <w:rPr>
          <w:rFonts w:ascii="TimesNewRoman" w:eastAsia="TimesNewRoman" w:hAnsi="TimesNewRoman" w:cs="TimesNewRoman"/>
          <w:b w:val="0"/>
          <w:i w:val="0"/>
          <w:vanish w:val="0"/>
          <w:color w:val="000000"/>
          <w:sz w:val="12"/>
          <w:vertAlign w:val="baselin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4323"/>
        <w:gridCol w:w="1303"/>
        <w:gridCol w:w="1373"/>
        <w:gridCol w:w="1302"/>
        <w:gridCol w:w="1208"/>
        <w:gridCol w:w="3119"/>
        <w:gridCol w:w="1253"/>
        <w:gridCol w:w="1421"/>
      </w:tblGrid>
      <w:tr>
        <w:tblPrEx>
          <w:tblW w:w="5000" w:type="pct"/>
        </w:tblPrEx>
        <w:trPr>
          <w:cantSplit w:val="0"/>
          <w:trHeight w:val="160"/>
          <w:tblHeader/>
        </w:trPr>
        <w:tc>
          <w:tcPr>
            <w:vMerge w:val="restar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NewRoman" w:eastAsia="TimesNewRoman" w:hAnsi="TimesNewRoman" w:cs="TimesNewRoman"/>
                <w:b w:val="0"/>
                <w:i w:val="0"/>
                <w:vanish w:val="0"/>
                <w:color w:val="000000"/>
                <w:sz w:val="24"/>
                <w:vertAlign w:val="baseline"/>
              </w:rPr>
            </w:pPr>
            <w:r>
              <w:rPr>
                <w:rFonts w:ascii="TimesNewRoman" w:eastAsia="TimesNewRoman" w:hAnsi="TimesNewRoman" w:cs="TimesNewRoman"/>
                <w:b w:val="0"/>
                <w:i w:val="0"/>
                <w:vanish w:val="0"/>
                <w:color w:val="000000"/>
                <w:sz w:val="24"/>
                <w:vertAlign w:val="baseline"/>
              </w:rPr>
              <w:t>Prerazporeditveni sklad</w:t>
            </w:r>
          </w:p>
        </w:tc>
        <w:tc>
          <w:tcPr>
            <w:gridSpan w:val="7"/>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NewRoman" w:eastAsia="TimesNewRoman" w:hAnsi="TimesNewRoman" w:cs="TimesNewRoman"/>
                <w:b w:val="0"/>
                <w:i w:val="0"/>
                <w:vanish w:val="0"/>
                <w:color w:val="000000"/>
                <w:sz w:val="24"/>
                <w:vertAlign w:val="baseline"/>
              </w:rPr>
            </w:pPr>
            <w:r>
              <w:rPr>
                <w:rFonts w:ascii="TimesNewRoman" w:eastAsia="TimesNewRoman" w:hAnsi="TimesNewRoman" w:cs="TimesNewRoman"/>
                <w:b w:val="0"/>
                <w:i w:val="0"/>
                <w:vanish w:val="0"/>
                <w:color w:val="000000"/>
                <w:sz w:val="24"/>
                <w:vertAlign w:val="baseline"/>
              </w:rPr>
              <w:t>Sklad prejemnik</w:t>
            </w:r>
          </w:p>
        </w:tc>
      </w:tr>
      <w:tr>
        <w:tblPrEx>
          <w:tblW w:w="5000" w:type="pct"/>
        </w:tblPrEx>
        <w:trPr>
          <w:cantSplit w:val="0"/>
          <w:trHeight w:val="160"/>
          <w:tblHeader/>
        </w:trPr>
        <w:tc>
          <w:tcPr>
            <w:vMerge/>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NewRoman" w:eastAsia="TimesNewRoman" w:hAnsi="TimesNewRoman" w:cs="TimesNewRoman"/>
                <w:b w:val="0"/>
                <w:i w:val="0"/>
                <w:vanish w:val="0"/>
                <w:color w:val="000000"/>
                <w:sz w:val="24"/>
                <w:vertAlign w:val="baseline"/>
              </w:rPr>
            </w:pP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NewRoman" w:eastAsia="TimesNewRoman" w:hAnsi="TimesNewRoman" w:cs="TimesNewRoman"/>
                <w:b w:val="0"/>
                <w:i w:val="0"/>
                <w:vanish w:val="0"/>
                <w:color w:val="000000"/>
                <w:sz w:val="24"/>
                <w:vertAlign w:val="baseline"/>
              </w:rPr>
            </w:pPr>
            <w:r>
              <w:rPr>
                <w:rFonts w:ascii="TimesNewRoman" w:eastAsia="TimesNewRoman" w:hAnsi="TimesNewRoman" w:cs="TimesNewRoman"/>
                <w:b w:val="0"/>
                <w:i w:val="0"/>
                <w:vanish w:val="0"/>
                <w:color w:val="000000"/>
                <w:sz w:val="24"/>
                <w:vertAlign w:val="baseline"/>
              </w:rPr>
              <w:t>AMIF</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NewRoman" w:eastAsia="TimesNewRoman" w:hAnsi="TimesNewRoman" w:cs="TimesNewRoman"/>
                <w:b w:val="0"/>
                <w:i w:val="0"/>
                <w:vanish w:val="0"/>
                <w:color w:val="000000"/>
                <w:sz w:val="24"/>
                <w:vertAlign w:val="baseline"/>
              </w:rPr>
            </w:pPr>
            <w:r>
              <w:rPr>
                <w:rFonts w:ascii="TimesNewRoman" w:eastAsia="TimesNewRoman" w:hAnsi="TimesNewRoman" w:cs="TimesNewRoman"/>
                <w:b w:val="0"/>
                <w:i w:val="0"/>
                <w:vanish w:val="0"/>
                <w:color w:val="000000"/>
                <w:sz w:val="24"/>
                <w:vertAlign w:val="baseline"/>
              </w:rPr>
              <w:t>IUMV</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NewRoman" w:eastAsia="TimesNewRoman" w:hAnsi="TimesNewRoman" w:cs="TimesNewRoman"/>
                <w:b w:val="0"/>
                <w:i w:val="0"/>
                <w:vanish w:val="0"/>
                <w:color w:val="000000"/>
                <w:sz w:val="24"/>
                <w:vertAlign w:val="baseline"/>
              </w:rPr>
            </w:pPr>
            <w:r>
              <w:rPr>
                <w:rFonts w:ascii="TimesNewRoman" w:eastAsia="TimesNewRoman" w:hAnsi="TimesNewRoman" w:cs="TimesNewRoman"/>
                <w:b w:val="0"/>
                <w:i w:val="0"/>
                <w:vanish w:val="0"/>
                <w:color w:val="000000"/>
                <w:sz w:val="24"/>
                <w:vertAlign w:val="baseline"/>
              </w:rPr>
              <w:t>ESRR</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NewRoman" w:eastAsia="TimesNewRoman" w:hAnsi="TimesNewRoman" w:cs="TimesNewRoman"/>
                <w:b w:val="0"/>
                <w:i w:val="0"/>
                <w:vanish w:val="0"/>
                <w:color w:val="000000"/>
                <w:sz w:val="24"/>
                <w:vertAlign w:val="baseline"/>
              </w:rPr>
            </w:pPr>
            <w:r>
              <w:rPr>
                <w:rFonts w:ascii="TimesNewRoman" w:eastAsia="TimesNewRoman" w:hAnsi="TimesNewRoman" w:cs="TimesNewRoman"/>
                <w:b w:val="0"/>
                <w:i w:val="0"/>
                <w:vanish w:val="0"/>
                <w:color w:val="000000"/>
                <w:sz w:val="24"/>
                <w:vertAlign w:val="baseline"/>
              </w:rPr>
              <w:t>ESS+</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NewRoman" w:eastAsia="TimesNewRoman" w:hAnsi="TimesNewRoman" w:cs="TimesNewRoman"/>
                <w:b w:val="0"/>
                <w:i w:val="0"/>
                <w:vanish w:val="0"/>
                <w:color w:val="000000"/>
                <w:sz w:val="24"/>
                <w:vertAlign w:val="baseline"/>
              </w:rPr>
            </w:pPr>
            <w:r>
              <w:rPr>
                <w:rFonts w:ascii="TimesNewRoman" w:eastAsia="TimesNewRoman" w:hAnsi="TimesNewRoman" w:cs="TimesNewRoman"/>
                <w:b w:val="0"/>
                <w:i w:val="0"/>
                <w:vanish w:val="0"/>
                <w:color w:val="000000"/>
                <w:sz w:val="24"/>
                <w:vertAlign w:val="baseline"/>
              </w:rPr>
              <w:t>Kohezijski sklad</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NewRoman" w:eastAsia="TimesNewRoman" w:hAnsi="TimesNewRoman" w:cs="TimesNewRoman"/>
                <w:b w:val="0"/>
                <w:i w:val="0"/>
                <w:vanish w:val="0"/>
                <w:color w:val="000000"/>
                <w:sz w:val="24"/>
                <w:vertAlign w:val="baseline"/>
              </w:rPr>
            </w:pPr>
            <w:r>
              <w:rPr>
                <w:rFonts w:ascii="TimesNewRoman" w:eastAsia="TimesNewRoman" w:hAnsi="TimesNewRoman" w:cs="TimesNewRoman"/>
                <w:b w:val="0"/>
                <w:i w:val="0"/>
                <w:vanish w:val="0"/>
                <w:color w:val="000000"/>
                <w:sz w:val="24"/>
                <w:vertAlign w:val="baseline"/>
              </w:rPr>
              <w:t>ESPR</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NewRoman" w:eastAsia="TimesNewRoman" w:hAnsi="TimesNewRoman" w:cs="TimesNewRoman"/>
                <w:b w:val="0"/>
                <w:i w:val="0"/>
                <w:vanish w:val="0"/>
                <w:color w:val="000000"/>
                <w:sz w:val="24"/>
                <w:vertAlign w:val="baseline"/>
              </w:rPr>
            </w:pPr>
            <w:r>
              <w:rPr>
                <w:rFonts w:ascii="TimesNewRoman" w:eastAsia="TimesNewRoman" w:hAnsi="TimesNewRoman" w:cs="TimesNewRoman"/>
                <w:b w:val="0"/>
                <w:i w:val="0"/>
                <w:vanish w:val="0"/>
                <w:color w:val="000000"/>
                <w:sz w:val="24"/>
                <w:vertAlign w:val="baseline"/>
              </w:rPr>
              <w:t>Skupaj</w:t>
            </w:r>
          </w:p>
        </w:tc>
      </w:tr>
      <w:tr>
        <w:tblPrEx>
          <w:tblW w:w="5000" w:type="pct"/>
        </w:tblPrEx>
        <w:trPr>
          <w:cantSplit w:val="0"/>
          <w:trHeight w:hRule="auto" w:val="0"/>
          <w:tblHeader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NewRoman" w:eastAsia="TimesNewRoman" w:hAnsi="TimesNewRoman" w:cs="TimesNewRoman"/>
                <w:b w:val="0"/>
                <w:i w:val="0"/>
                <w:vanish w:val="0"/>
                <w:color w:val="000000"/>
                <w:sz w:val="24"/>
                <w:vertAlign w:val="baseline"/>
              </w:rPr>
            </w:pPr>
            <w:r>
              <w:rPr>
                <w:rFonts w:ascii="TimesNewRoman" w:eastAsia="TimesNewRoman" w:hAnsi="TimesNewRoman" w:cs="TimesNewRoman"/>
                <w:b w:val="0"/>
                <w:i w:val="0"/>
                <w:vanish w:val="0"/>
                <w:color w:val="000000"/>
                <w:sz w:val="24"/>
                <w:vertAlign w:val="baseline"/>
              </w:rPr>
              <w:t>SNV</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right"/>
              <w:rPr>
                <w:rFonts w:ascii="TimesNewRoman" w:eastAsia="TimesNewRoman" w:hAnsi="TimesNewRoman" w:cs="TimesNewRoman"/>
                <w:b w:val="0"/>
                <w:i w:val="0"/>
                <w:vanish w:val="0"/>
                <w:color w:val="000000"/>
                <w:sz w:val="24"/>
                <w:vertAlign w:val="baseline"/>
              </w:rPr>
            </w:pP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right"/>
              <w:rPr>
                <w:rFonts w:ascii="TimesNewRoman" w:eastAsia="TimesNewRoman" w:hAnsi="TimesNewRoman" w:cs="TimesNewRoman"/>
                <w:b w:val="0"/>
                <w:i w:val="0"/>
                <w:vanish w:val="0"/>
                <w:color w:val="000000"/>
                <w:sz w:val="24"/>
                <w:vertAlign w:val="baseline"/>
              </w:rPr>
            </w:pP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right"/>
              <w:rPr>
                <w:rFonts w:ascii="TimesNewRoman" w:eastAsia="TimesNewRoman" w:hAnsi="TimesNewRoman" w:cs="TimesNewRoman"/>
                <w:b w:val="0"/>
                <w:i w:val="0"/>
                <w:vanish w:val="0"/>
                <w:color w:val="000000"/>
                <w:sz w:val="24"/>
                <w:vertAlign w:val="baseline"/>
              </w:rPr>
            </w:pP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right"/>
              <w:rPr>
                <w:rFonts w:ascii="TimesNewRoman" w:eastAsia="TimesNewRoman" w:hAnsi="TimesNewRoman" w:cs="TimesNewRoman"/>
                <w:b w:val="0"/>
                <w:i w:val="0"/>
                <w:vanish w:val="0"/>
                <w:color w:val="000000"/>
                <w:sz w:val="24"/>
                <w:vertAlign w:val="baseline"/>
              </w:rPr>
            </w:pP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right"/>
              <w:rPr>
                <w:rFonts w:ascii="TimesNewRoman" w:eastAsia="TimesNewRoman" w:hAnsi="TimesNewRoman" w:cs="TimesNewRoman"/>
                <w:b w:val="0"/>
                <w:i w:val="0"/>
                <w:vanish w:val="0"/>
                <w:color w:val="000000"/>
                <w:sz w:val="24"/>
                <w:vertAlign w:val="baseline"/>
              </w:rPr>
            </w:pP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right"/>
              <w:rPr>
                <w:rFonts w:ascii="TimesNewRoman" w:eastAsia="TimesNewRoman" w:hAnsi="TimesNewRoman" w:cs="TimesNewRoman"/>
                <w:b w:val="0"/>
                <w:i w:val="0"/>
                <w:vanish w:val="0"/>
                <w:color w:val="000000"/>
                <w:sz w:val="24"/>
                <w:vertAlign w:val="baseline"/>
              </w:rPr>
            </w:pP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right"/>
              <w:rPr>
                <w:rFonts w:ascii="TimesNewRoman" w:eastAsia="TimesNewRoman" w:hAnsi="TimesNewRoman" w:cs="TimesNewRoman"/>
                <w:b w:val="0"/>
                <w:i w:val="0"/>
                <w:vanish w:val="0"/>
                <w:color w:val="000000"/>
                <w:sz w:val="24"/>
                <w:vertAlign w:val="baseline"/>
              </w:rPr>
            </w:pPr>
          </w:p>
        </w:tc>
      </w:tr>
    </w:tbl>
    <w:p w:rsidR="00A77B3E">
      <w:pPr>
        <w:spacing w:before="100" w:after="0"/>
        <w:jc w:val="left"/>
        <w:rPr>
          <w:rFonts w:ascii="TimesNewRoman" w:eastAsia="TimesNewRoman" w:hAnsi="TimesNewRoman" w:cs="TimesNewRoman"/>
          <w:b w:val="0"/>
          <w:i w:val="0"/>
          <w:vanish w:val="0"/>
          <w:color w:val="000000"/>
          <w:sz w:val="24"/>
          <w:vertAlign w:val="baseline"/>
        </w:rPr>
      </w:pPr>
      <w:r>
        <w:rPr>
          <w:rFonts w:ascii="TimesNewRoman" w:eastAsia="TimesNewRoman" w:hAnsi="TimesNewRoman" w:cs="TimesNewRoman"/>
          <w:b w:val="0"/>
          <w:i w:val="0"/>
          <w:vanish w:val="0"/>
          <w:color w:val="000000"/>
          <w:sz w:val="24"/>
          <w:vertAlign w:val="superscript"/>
        </w:rPr>
        <w:t>1</w:t>
      </w:r>
      <w:r>
        <w:rPr>
          <w:rFonts w:ascii="TimesNewRoman" w:eastAsia="TimesNewRoman" w:hAnsi="TimesNewRoman" w:cs="TimesNewRoman"/>
          <w:b w:val="0"/>
          <w:i w:val="0"/>
          <w:vanish w:val="0"/>
          <w:color w:val="000000"/>
          <w:sz w:val="24"/>
          <w:vertAlign w:val="baseline"/>
        </w:rPr>
        <w:t>Kumulativni zneski za vse prerazporeditve v programskem obdobju</w:t>
      </w:r>
    </w:p>
    <w:p w:rsidR="00A77B3E">
      <w:pPr>
        <w:spacing w:before="100" w:after="0"/>
        <w:jc w:val="left"/>
        <w:rPr>
          <w:rFonts w:ascii="TimesNewRoman" w:eastAsia="TimesNewRoman" w:hAnsi="TimesNewRoman" w:cs="TimesNewRoman"/>
          <w:b w:val="0"/>
          <w:i w:val="0"/>
          <w:vanish w:val="0"/>
          <w:color w:val="000000"/>
          <w:sz w:val="0"/>
          <w:vertAlign w:val="baseline"/>
        </w:rPr>
      </w:pPr>
      <w:r>
        <w:rPr>
          <w:rFonts w:ascii="TimesNewRoman" w:eastAsia="TimesNewRoman" w:hAnsi="TimesNewRoman" w:cs="TimesNewRoman"/>
          <w:b w:val="0"/>
          <w:i w:val="0"/>
          <w:vanish w:val="0"/>
          <w:color w:val="000000"/>
          <w:sz w:val="24"/>
          <w:vertAlign w:val="baseline"/>
        </w:rPr>
        <w:br w:type="page"/>
      </w:r>
      <w:r>
        <w:rPr>
          <w:rFonts w:ascii="TimesNewRoman" w:eastAsia="TimesNewRoman" w:hAnsi="TimesNewRoman" w:cs="TimesNewRoman"/>
          <w:b w:val="0"/>
          <w:i w:val="0"/>
          <w:vanish w:val="0"/>
          <w:color w:val="000000"/>
          <w:sz w:val="24"/>
          <w:vertAlign w:val="baseline"/>
        </w:rPr>
        <w:t>Tabela 8: Prerazporeditve v instrumente v okviru neposrednega ali posrednega upravljanja</w:t>
      </w:r>
      <w:r>
        <w:rPr>
          <w:rFonts w:ascii="TimesNewRoman" w:eastAsia="TimesNewRoman" w:hAnsi="TimesNewRoman" w:cs="TimesNewRoman"/>
          <w:b w:val="0"/>
          <w:i w:val="0"/>
          <w:vanish w:val="0"/>
          <w:color w:val="000000"/>
          <w:sz w:val="24"/>
          <w:vertAlign w:val="superscript"/>
        </w:rPr>
        <w:t>1</w:t>
      </w:r>
    </w:p>
    <w:p w:rsidR="00A77B3E">
      <w:pPr>
        <w:spacing w:before="100" w:after="0"/>
        <w:jc w:val="left"/>
        <w:rPr>
          <w:rFonts w:ascii="TimesNewRoman" w:eastAsia="TimesNewRoman" w:hAnsi="TimesNewRoman" w:cs="TimesNewRoman"/>
          <w:b w:val="0"/>
          <w:i w:val="0"/>
          <w:vanish w:val="0"/>
          <w:color w:val="000000"/>
          <w:sz w:val="12"/>
          <w:vertAlign w:val="baselin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5016"/>
        <w:gridCol w:w="10286"/>
      </w:tblGrid>
      <w:tr>
        <w:tblPrEx>
          <w:tblW w:w="5000" w:type="pct"/>
        </w:tblPrEx>
        <w:trPr>
          <w:cantSplit w:val="0"/>
          <w:trHeight w:hRule="auto" w:val="0"/>
          <w:tblHeader/>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NewRoman" w:eastAsia="TimesNewRoman" w:hAnsi="TimesNewRoman" w:cs="TimesNewRoman"/>
                <w:b w:val="0"/>
                <w:i w:val="0"/>
                <w:vanish w:val="0"/>
                <w:color w:val="000000"/>
                <w:sz w:val="24"/>
                <w:vertAlign w:val="baseline"/>
              </w:rPr>
            </w:pPr>
            <w:r>
              <w:rPr>
                <w:rFonts w:ascii="TimesNewRoman" w:eastAsia="TimesNewRoman" w:hAnsi="TimesNewRoman" w:cs="TimesNewRoman"/>
                <w:b w:val="0"/>
                <w:i w:val="0"/>
                <w:vanish w:val="0"/>
                <w:color w:val="000000"/>
                <w:sz w:val="24"/>
                <w:vertAlign w:val="baseline"/>
              </w:rPr>
              <w:t>Instrument</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NewRoman" w:eastAsia="TimesNewRoman" w:hAnsi="TimesNewRoman" w:cs="TimesNewRoman"/>
                <w:b w:val="0"/>
                <w:i w:val="0"/>
                <w:vanish w:val="0"/>
                <w:color w:val="000000"/>
                <w:sz w:val="24"/>
                <w:vertAlign w:val="baseline"/>
              </w:rPr>
            </w:pPr>
            <w:r>
              <w:rPr>
                <w:rFonts w:ascii="TimesNewRoman" w:eastAsia="TimesNewRoman" w:hAnsi="TimesNewRoman" w:cs="TimesNewRoman"/>
                <w:b w:val="0"/>
                <w:i w:val="0"/>
                <w:vanish w:val="0"/>
                <w:color w:val="000000"/>
                <w:sz w:val="24"/>
                <w:vertAlign w:val="baseline"/>
              </w:rPr>
              <w:t>Znesek prerazporeditve</w:t>
            </w:r>
          </w:p>
        </w:tc>
      </w:tr>
      <w:tr>
        <w:tblPrEx>
          <w:tblW w:w="5000" w:type="pct"/>
        </w:tblPrEx>
        <w:trPr>
          <w:cantSplit w:val="0"/>
          <w:trHeight w:hRule="auto" w:val="0"/>
          <w:tblHeader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NewRoman" w:eastAsia="TimesNewRoman" w:hAnsi="TimesNewRoman" w:cs="TimesNewRoman"/>
                <w:b w:val="0"/>
                <w:i w:val="0"/>
                <w:vanish w:val="0"/>
                <w:color w:val="000000"/>
                <w:sz w:val="24"/>
                <w:vertAlign w:val="baseline"/>
              </w:rPr>
            </w:pP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right"/>
              <w:rPr>
                <w:rFonts w:ascii="TimesNewRoman" w:eastAsia="TimesNewRoman" w:hAnsi="TimesNewRoman" w:cs="TimesNewRoman"/>
                <w:b w:val="0"/>
                <w:i w:val="0"/>
                <w:vanish w:val="0"/>
                <w:color w:val="000000"/>
                <w:sz w:val="24"/>
                <w:vertAlign w:val="baseline"/>
              </w:rPr>
            </w:pPr>
            <w:r>
              <w:rPr>
                <w:rFonts w:ascii="TimesNewRoman" w:eastAsia="TimesNewRoman" w:hAnsi="TimesNewRoman" w:cs="TimesNewRoman"/>
                <w:b w:val="0"/>
                <w:i w:val="0"/>
                <w:vanish w:val="0"/>
                <w:color w:val="000000"/>
                <w:sz w:val="24"/>
                <w:vertAlign w:val="baseline"/>
              </w:rPr>
              <w:t>0,00</w:t>
            </w:r>
          </w:p>
        </w:tc>
      </w:tr>
    </w:tbl>
    <w:p w:rsidR="00A77B3E">
      <w:pPr>
        <w:spacing w:before="100" w:after="0"/>
        <w:jc w:val="left"/>
        <w:rPr>
          <w:rFonts w:ascii="TimesNewRoman" w:eastAsia="TimesNewRoman" w:hAnsi="TimesNewRoman" w:cs="TimesNewRoman"/>
          <w:b w:val="0"/>
          <w:i w:val="0"/>
          <w:vanish w:val="0"/>
          <w:color w:val="000000"/>
          <w:sz w:val="24"/>
          <w:vertAlign w:val="baseline"/>
        </w:rPr>
        <w:sectPr>
          <w:headerReference w:type="even" r:id="rId58"/>
          <w:headerReference w:type="default" r:id="rId59"/>
          <w:footerReference w:type="even" r:id="rId60"/>
          <w:footerReference w:type="default" r:id="rId61"/>
          <w:headerReference w:type="first" r:id="rId62"/>
          <w:footerReference w:type="first" r:id="rId63"/>
          <w:type w:val="nextPage"/>
          <w:pgSz w:w="16838" w:h="11906" w:orient="landscape"/>
          <w:pgMar w:top="720" w:right="720" w:bottom="864" w:left="936" w:header="288" w:footer="72" w:gutter="0"/>
          <w:cols w:space="708"/>
          <w:noEndnote/>
          <w:docGrid w:linePitch="360"/>
        </w:sectPr>
      </w:pPr>
      <w:r>
        <w:rPr>
          <w:rFonts w:ascii="TimesNewRoman" w:eastAsia="TimesNewRoman" w:hAnsi="TimesNewRoman" w:cs="TimesNewRoman"/>
          <w:b w:val="0"/>
          <w:i w:val="0"/>
          <w:vanish w:val="0"/>
          <w:color w:val="000000"/>
          <w:sz w:val="24"/>
          <w:vertAlign w:val="superscript"/>
        </w:rPr>
        <w:t>1</w:t>
      </w:r>
      <w:r>
        <w:rPr>
          <w:rFonts w:ascii="TimesNewRoman" w:eastAsia="TimesNewRoman" w:hAnsi="TimesNewRoman" w:cs="TimesNewRoman"/>
          <w:b w:val="0"/>
          <w:i w:val="0"/>
          <w:vanish w:val="0"/>
          <w:color w:val="000000"/>
          <w:sz w:val="24"/>
          <w:vertAlign w:val="baseline"/>
        </w:rPr>
        <w:t>Kumulativni zneski za vse prerazporeditve v programskem obdobju</w:t>
      </w:r>
    </w:p>
    <w:p w:rsidR="00A77B3E">
      <w:pPr>
        <w:pStyle w:val="Heading1"/>
        <w:spacing w:before="100" w:after="0"/>
        <w:jc w:val="left"/>
        <w:rPr>
          <w:rFonts w:ascii="Times New Roman" w:eastAsia="Times New Roman" w:hAnsi="Times New Roman" w:cs="Times New Roman"/>
          <w:b w:val="0"/>
          <w:i w:val="0"/>
          <w:vanish w:val="0"/>
          <w:color w:val="000000"/>
          <w:sz w:val="24"/>
          <w:vertAlign w:val="baseline"/>
        </w:rPr>
      </w:pPr>
      <w:bookmarkStart w:id="33" w:name="_Toc256000088"/>
      <w:r>
        <w:rPr>
          <w:rFonts w:ascii="Times New Roman" w:eastAsia="Times New Roman" w:hAnsi="Times New Roman" w:cs="Times New Roman"/>
          <w:b w:val="0"/>
          <w:i w:val="0"/>
          <w:vanish w:val="0"/>
          <w:color w:val="000000"/>
          <w:sz w:val="24"/>
          <w:vertAlign w:val="baseline"/>
        </w:rPr>
        <w:t>4. Omogočitveni pogoji</w:t>
      </w:r>
      <w:bookmarkEnd w:id="33"/>
    </w:p>
    <w:p w:rsidR="00A77B3E">
      <w:pPr>
        <w:spacing w:before="100" w:after="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Sklic: člen 22(3)(i) uredbe o skupnih določbah</w:t>
      </w:r>
    </w:p>
    <w:p w:rsidR="00A77B3E">
      <w:pPr>
        <w:pStyle w:val="Heading2"/>
        <w:spacing w:before="100" w:after="0"/>
        <w:jc w:val="left"/>
        <w:rPr>
          <w:rFonts w:ascii="Times New Roman" w:eastAsia="Times New Roman" w:hAnsi="Times New Roman" w:cs="Times New Roman"/>
          <w:b w:val="0"/>
          <w:i w:val="0"/>
          <w:vanish w:val="0"/>
          <w:color w:val="000000"/>
          <w:sz w:val="24"/>
          <w:vertAlign w:val="baseline"/>
        </w:rPr>
      </w:pPr>
      <w:bookmarkStart w:id="34" w:name="_Toc256000089"/>
      <w:r>
        <w:rPr>
          <w:rFonts w:ascii="Times New Roman" w:eastAsia="Times New Roman" w:hAnsi="Times New Roman" w:cs="Times New Roman"/>
          <w:b w:val="0"/>
          <w:i w:val="0"/>
          <w:vanish w:val="0"/>
          <w:color w:val="000000"/>
          <w:sz w:val="24"/>
          <w:vertAlign w:val="baseline"/>
        </w:rPr>
        <w:t>Tabela 9: Horizontalni omogočitveni pogoji</w:t>
      </w:r>
      <w:bookmarkEnd w:id="34"/>
    </w:p>
    <w:p w:rsidR="00A77B3E">
      <w:pPr>
        <w:spacing w:before="100" w:after="0"/>
        <w:jc w:val="left"/>
        <w:rPr>
          <w:rFonts w:ascii="Times New Roman" w:eastAsia="Times New Roman" w:hAnsi="Times New Roman" w:cs="Times New Roman"/>
          <w:b w:val="0"/>
          <w:i w:val="0"/>
          <w:vanish w:val="0"/>
          <w:color w:val="000000"/>
          <w:sz w:val="0"/>
          <w:vertAlign w:val="baseli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Pr>
      <w:tblGrid>
        <w:gridCol w:w="1600"/>
        <w:gridCol w:w="1600"/>
        <w:gridCol w:w="3600"/>
        <w:gridCol w:w="1600"/>
        <w:gridCol w:w="3600"/>
        <w:gridCol w:w="3600"/>
      </w:tblGrid>
      <w:tr>
        <w:tblPrEx>
          <w:tblW w:w="0" w:type="auto"/>
          <w:tblLayout w:type="fixed"/>
        </w:tblPrEx>
        <w:trPr>
          <w:cantSplit w:val="0"/>
          <w:trHeight w:hRule="auto" w:val="0"/>
          <w:tblHeader/>
        </w:trPr>
        <w:tc>
          <w:tcPr>
            <w:tcW w:w="16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Omogočitveni pogoj</w:t>
            </w:r>
          </w:p>
        </w:tc>
        <w:tc>
          <w:tcPr>
            <w:tcW w:w="16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Izpolnjevanje omogočitvenega pogoja</w:t>
            </w:r>
          </w:p>
        </w:tc>
        <w:tc>
          <w:tcPr>
            <w:tcW w:w="36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Merila</w:t>
            </w:r>
          </w:p>
        </w:tc>
        <w:tc>
          <w:tcPr>
            <w:tcW w:w="16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Izpolnjevanje meril</w:t>
            </w:r>
          </w:p>
        </w:tc>
        <w:tc>
          <w:tcPr>
            <w:tcW w:w="36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Sklic na zadevne dokumente</w:t>
            </w:r>
          </w:p>
        </w:tc>
        <w:tc>
          <w:tcPr>
            <w:tcW w:w="36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Utemeljitev</w:t>
            </w:r>
          </w:p>
        </w:tc>
      </w:tr>
      <w:tr>
        <w:tblPrEx>
          <w:tblW w:w="0" w:type="auto"/>
          <w:tblLayout w:type="fixed"/>
        </w:tblPrEx>
        <w:trPr>
          <w:cantSplit w:val="0"/>
          <w:trHeight w:hRule="auto" w:val="0"/>
          <w:tblHeader w:val="0"/>
        </w:trPr>
        <w:tc>
          <w:tcPr>
            <w:tcW w:w="1600" w:type="dxa"/>
            <w:vMerge w:val="restar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1. Učinkoviti mehanizmi spremljanja trga javnih naročil</w:t>
            </w:r>
          </w:p>
        </w:tc>
        <w:tc>
          <w:tcPr>
            <w:tcW w:w="1600" w:type="dxa"/>
            <w:vMerge w:val="restar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Da</w:t>
            </w:r>
          </w:p>
        </w:tc>
        <w:tc>
          <w:tcPr>
            <w:tcW w:w="36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Vzpostavljeni so mehanizmi za spremljanje, ki zajemajo vse javne pogodbe in njihova javna naročila v okviru skladov v skladu z zakonodajo Unije o javnih naročilih. Ta zahteva vključuje:1. ureditve za zagotovitev zbiranja učinkovitih in zanesljivih podatkov o postopkih javnega naročanja nad mejnimi vrednostmi Unije v skladu z obveznostmi poročanja iz členov 83 in 84 Direktive 2014/24/EU ter členov 99 in 100 Direktive 2014/25/EU;</w:t>
            </w:r>
          </w:p>
        </w:tc>
        <w:tc>
          <w:tcPr>
            <w:tcW w:w="16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Da</w:t>
            </w:r>
          </w:p>
        </w:tc>
        <w:tc>
          <w:tcPr>
            <w:tcW w:w="36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 xml:space="preserve">- Zakon o javnem naročanju (ZJN-3) </w:t>
            </w:r>
          </w:p>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(http://www.pisrs.si/Pis.web/pregledPredpisa?id=ZAKO7086)</w:t>
            </w:r>
          </w:p>
          <w:p w:rsidR="00A77B3E">
            <w:pPr>
              <w:spacing w:before="100" w:after="0"/>
              <w:jc w:val="left"/>
              <w:rPr>
                <w:rFonts w:ascii="Times New Roman" w:eastAsia="Times New Roman" w:hAnsi="Times New Roman" w:cs="Times New Roman"/>
                <w:b w:val="0"/>
                <w:i w:val="0"/>
                <w:vanish w:val="0"/>
                <w:color w:val="000000"/>
                <w:sz w:val="20"/>
                <w:vertAlign w:val="baseline"/>
              </w:rPr>
            </w:pPr>
          </w:p>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 Pravilnik o vrstah in načinu zbiranja podatkov za letno statistično poročilo o oddaji javnih naročil</w:t>
            </w:r>
          </w:p>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(http://www.pisrs.si/Pis.web/pregledPredpisa?id=PRAV12700)</w:t>
            </w:r>
          </w:p>
          <w:p w:rsidR="00A77B3E">
            <w:pPr>
              <w:spacing w:before="100" w:after="0"/>
              <w:jc w:val="left"/>
              <w:rPr>
                <w:rFonts w:ascii="Times New Roman" w:eastAsia="Times New Roman" w:hAnsi="Times New Roman" w:cs="Times New Roman"/>
                <w:b w:val="0"/>
                <w:i w:val="0"/>
                <w:vanish w:val="0"/>
                <w:color w:val="000000"/>
                <w:sz w:val="20"/>
                <w:vertAlign w:val="baseline"/>
              </w:rPr>
            </w:pPr>
          </w:p>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 xml:space="preserve">- Statistična poročila za vsako posamezno leto so dostopna na: </w:t>
            </w:r>
          </w:p>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https://ejn.gov.si/direktorat/porocila-in-analize.html</w:t>
            </w:r>
          </w:p>
          <w:p w:rsidR="00A77B3E">
            <w:pPr>
              <w:spacing w:before="100" w:after="0"/>
              <w:jc w:val="left"/>
              <w:rPr>
                <w:rFonts w:ascii="Times New Roman" w:eastAsia="Times New Roman" w:hAnsi="Times New Roman" w:cs="Times New Roman"/>
                <w:b w:val="0"/>
                <w:i w:val="0"/>
                <w:vanish w:val="0"/>
                <w:color w:val="000000"/>
                <w:sz w:val="20"/>
                <w:vertAlign w:val="baseline"/>
              </w:rPr>
            </w:pPr>
          </w:p>
        </w:tc>
        <w:tc>
          <w:tcPr>
            <w:tcW w:w="36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V skladu s 114. členom ZJN-3 Ministrstvo za notranje zadeve in javno upravo (MNZJU) zagotavlja spremljanje uporabe pravil o javnem naročanju. Kadar ugotovi ali prejme podatke, ki kažejo na posamezne kršitve ali sistemske težave obvesti Urad Republike Slovenije za nadzor proračuna, Računsko sodišče Republike Slovenije, Državno revizijsko komisijo, Agencijo Republike Slovenije za varstvo konkurence (AVK) ali Komisijo za preprečevanje korupcije. MNZJU vsaka tri leta poroča o rezultatih spremljanja Evropski komisiji. Poročilo je informacija javnega značaja.</w:t>
            </w:r>
          </w:p>
          <w:p w:rsidR="00A77B3E">
            <w:pPr>
              <w:spacing w:before="100" w:after="0"/>
              <w:jc w:val="left"/>
              <w:rPr>
                <w:rFonts w:ascii="Times New Roman" w:eastAsia="Times New Roman" w:hAnsi="Times New Roman" w:cs="Times New Roman"/>
                <w:b w:val="0"/>
                <w:i w:val="0"/>
                <w:vanish w:val="0"/>
                <w:color w:val="000000"/>
                <w:sz w:val="20"/>
                <w:vertAlign w:val="baseline"/>
              </w:rPr>
            </w:pPr>
          </w:p>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 xml:space="preserve">V skladu s 106. - 108. členom ZJN-3 MNZJU pripravi letno statistično poročilo o javnih naročilih, oddanih v Sloveniji na podlagi obvestil o oddanih javnih naročilih v preteklem letu, objavljenih na portalu javnih naročil oziroma v Uradnem listu EU, in iz sporočenih statističnih podatkov o evidenčnih naročilih. ZJN-3 določa tudi vsebino statističnega poročila in razčlenitev podatkov. </w:t>
            </w:r>
          </w:p>
          <w:p w:rsidR="00A77B3E">
            <w:pPr>
              <w:spacing w:before="100" w:after="0"/>
              <w:jc w:val="left"/>
              <w:rPr>
                <w:rFonts w:ascii="Times New Roman" w:eastAsia="Times New Roman" w:hAnsi="Times New Roman" w:cs="Times New Roman"/>
                <w:b w:val="0"/>
                <w:i w:val="0"/>
                <w:vanish w:val="0"/>
                <w:color w:val="000000"/>
                <w:sz w:val="20"/>
                <w:vertAlign w:val="baseline"/>
              </w:rPr>
            </w:pPr>
          </w:p>
        </w:tc>
      </w:tr>
      <w:tr>
        <w:tblPrEx>
          <w:tblW w:w="0" w:type="auto"/>
          <w:tblLayout w:type="fixed"/>
        </w:tblPrEx>
        <w:trPr>
          <w:cantSplit w:val="0"/>
          <w:trHeight w:hRule="auto" w:val="0"/>
          <w:tblHeader w:val="0"/>
        </w:trPr>
        <w:tc>
          <w:tcPr>
            <w:tcW w:w="1600" w:type="dxa"/>
            <w:vMerge/>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vertAlign w:val="baseline"/>
              </w:rPr>
            </w:pPr>
          </w:p>
        </w:tc>
        <w:tc>
          <w:tcPr>
            <w:tcW w:w="1600" w:type="dxa"/>
            <w:vMerge/>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vertAlign w:val="baseline"/>
              </w:rPr>
            </w:pPr>
          </w:p>
        </w:tc>
        <w:tc>
          <w:tcPr>
            <w:tcW w:w="36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 xml:space="preserve">2. ureditve za zagotovitev, da podatki zajemajo vsaj naslednje elemente: </w:t>
            </w:r>
          </w:p>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 xml:space="preserve">(a) kakovost in intenzivnost konkurence: imena izbranega ponudnika, število prvotnih ponudnikov in pogodbena vrednost, </w:t>
            </w:r>
          </w:p>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(b) informacije o končni ceni po dokončanju in o udeležbi MSP kot neposrednih ponudnikov, kadar nacionalni sistemi zagotavljajo take informacije;</w:t>
            </w:r>
          </w:p>
        </w:tc>
        <w:tc>
          <w:tcPr>
            <w:tcW w:w="16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Da</w:t>
            </w:r>
          </w:p>
        </w:tc>
        <w:tc>
          <w:tcPr>
            <w:tcW w:w="36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Portal javnih naročil</w:t>
            </w:r>
          </w:p>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https://www.enarocanje.si/</w:t>
            </w:r>
          </w:p>
          <w:p w:rsidR="00A77B3E">
            <w:pPr>
              <w:spacing w:before="100" w:after="0"/>
              <w:jc w:val="left"/>
              <w:rPr>
                <w:rFonts w:ascii="Times New Roman" w:eastAsia="Times New Roman" w:hAnsi="Times New Roman" w:cs="Times New Roman"/>
                <w:b w:val="0"/>
                <w:i w:val="0"/>
                <w:vanish w:val="0"/>
                <w:color w:val="000000"/>
                <w:sz w:val="20"/>
                <w:vertAlign w:val="baseline"/>
              </w:rPr>
            </w:pPr>
          </w:p>
        </w:tc>
        <w:tc>
          <w:tcPr>
            <w:tcW w:w="36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Vsi zahtevani podatki so del obvestil o oddaji javnih naročil, ki jih naročniki objavijo na portalu javnih naročil, ki predstavlja enoten dostop do informacij o javnem naročanju in zagotavlja objavo vseh bistvenih podatkov v zvezi s postopkom oddaje javnega naročila (tj. obvestila o javnih naročilih, razpisna dokumentacija, odločitve o oddaji naročila, obvestila o oddaji naročil, ki vsebujejo tudi informacije o sodelovanju MSP itd.).</w:t>
            </w:r>
          </w:p>
        </w:tc>
      </w:tr>
      <w:tr>
        <w:tblPrEx>
          <w:tblW w:w="0" w:type="auto"/>
          <w:tblLayout w:type="fixed"/>
        </w:tblPrEx>
        <w:trPr>
          <w:cantSplit w:val="0"/>
          <w:trHeight w:hRule="auto" w:val="0"/>
          <w:tblHeader w:val="0"/>
        </w:trPr>
        <w:tc>
          <w:tcPr>
            <w:tcW w:w="1600" w:type="dxa"/>
            <w:vMerge/>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vertAlign w:val="baseline"/>
              </w:rPr>
            </w:pPr>
          </w:p>
        </w:tc>
        <w:tc>
          <w:tcPr>
            <w:tcW w:w="1600" w:type="dxa"/>
            <w:vMerge/>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vertAlign w:val="baseline"/>
              </w:rPr>
            </w:pPr>
          </w:p>
        </w:tc>
        <w:tc>
          <w:tcPr>
            <w:tcW w:w="36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3. ureditve za zagotovitev spremljanja in analize podatkov s strani pristojnih nacionalnih organov v skladu s členom 83(2) Direktive 2014/24/EU in členom 99(2) Direktive 2014/25/EU;</w:t>
            </w:r>
          </w:p>
        </w:tc>
        <w:tc>
          <w:tcPr>
            <w:tcW w:w="16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Da</w:t>
            </w:r>
          </w:p>
        </w:tc>
        <w:tc>
          <w:tcPr>
            <w:tcW w:w="36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Zakon o javnem naročanju (ZJN-3)</w:t>
            </w:r>
          </w:p>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http://www.pisrs.si/Pis.web/pregledPredpisa?id=ZAKO7086</w:t>
            </w:r>
          </w:p>
          <w:p w:rsidR="00A77B3E">
            <w:pPr>
              <w:spacing w:before="100" w:after="0"/>
              <w:jc w:val="left"/>
              <w:rPr>
                <w:rFonts w:ascii="Times New Roman" w:eastAsia="Times New Roman" w:hAnsi="Times New Roman" w:cs="Times New Roman"/>
                <w:b w:val="0"/>
                <w:i w:val="0"/>
                <w:vanish w:val="0"/>
                <w:color w:val="000000"/>
                <w:sz w:val="20"/>
                <w:vertAlign w:val="baseline"/>
              </w:rPr>
            </w:pPr>
          </w:p>
        </w:tc>
        <w:tc>
          <w:tcPr>
            <w:tcW w:w="36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V skladu s prvim odstavkom 114. člena ZJN-3 je spremljanje uporabe pravil javnega naročanja v pristojnosti MNZJU, ki v primeru, ko ugotovi ali prejme podatke, ki kažejo na posamezne kršitve ali sistemske težave, o njih obvesti pristojne nacionalne organe, ki jih ustrezno obravnavajo. Te informacije se zbirajo in po potrebi identificirajo na različne načine, npr. preko letnega statističnega poročanja; različnih vrst iniciativ različnih deležnikov, predvsem različnih dogodkih, kot so izobraževanja in usposabljanja; preko vzpostavljene enotne kontaktne točke za pomoč naročnikom in gospodarskim subjektom, enotnega kontaktnega centra državne uprave za tehnično pomoč preko telefonskih in pisnih svetovanj, itd.</w:t>
            </w:r>
          </w:p>
        </w:tc>
      </w:tr>
      <w:tr>
        <w:tblPrEx>
          <w:tblW w:w="0" w:type="auto"/>
          <w:tblLayout w:type="fixed"/>
        </w:tblPrEx>
        <w:trPr>
          <w:cantSplit w:val="0"/>
          <w:trHeight w:hRule="auto" w:val="0"/>
          <w:tblHeader w:val="0"/>
        </w:trPr>
        <w:tc>
          <w:tcPr>
            <w:tcW w:w="1600" w:type="dxa"/>
            <w:vMerge/>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vertAlign w:val="baseline"/>
              </w:rPr>
            </w:pPr>
          </w:p>
        </w:tc>
        <w:tc>
          <w:tcPr>
            <w:tcW w:w="1600" w:type="dxa"/>
            <w:vMerge/>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vertAlign w:val="baseline"/>
              </w:rPr>
            </w:pPr>
          </w:p>
        </w:tc>
        <w:tc>
          <w:tcPr>
            <w:tcW w:w="36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4. ureditve za dajanje izidov analize na razpolago javnosti v skladu s členom 83(3) Direktive 2014/24/EU in členom 99(3) Direktive 2014/25/EU;</w:t>
            </w:r>
          </w:p>
        </w:tc>
        <w:tc>
          <w:tcPr>
            <w:tcW w:w="16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Da</w:t>
            </w:r>
          </w:p>
        </w:tc>
        <w:tc>
          <w:tcPr>
            <w:tcW w:w="36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Slovensko poročilo je skupaj s poročili drugih držav članic na voljo na spletni strani Evropske komisije:</w:t>
            </w:r>
          </w:p>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https://single-market-economy.ec.europa.eu/single-market/public-procurement/country-reports-and-information-eu-countries_en</w:t>
            </w:r>
          </w:p>
          <w:p w:rsidR="00A77B3E">
            <w:pPr>
              <w:spacing w:before="100" w:after="0"/>
              <w:jc w:val="left"/>
              <w:rPr>
                <w:rFonts w:ascii="Times New Roman" w:eastAsia="Times New Roman" w:hAnsi="Times New Roman" w:cs="Times New Roman"/>
                <w:b w:val="0"/>
                <w:i w:val="0"/>
                <w:vanish w:val="0"/>
                <w:color w:val="000000"/>
                <w:sz w:val="20"/>
                <w:vertAlign w:val="baseline"/>
              </w:rPr>
            </w:pPr>
          </w:p>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Vsa državna statistična poročila o oddanih javnih naročilih v Republiki Sloveniji, v katerih MNZJU analizira stanje javnega naročanja za vsako posamezno leto, so dostopna na:</w:t>
            </w:r>
          </w:p>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https:// ejn.gov.si/direktorat/porocila-in-analize.html</w:t>
            </w:r>
          </w:p>
          <w:p w:rsidR="00A77B3E">
            <w:pPr>
              <w:spacing w:before="100" w:after="0"/>
              <w:jc w:val="left"/>
              <w:rPr>
                <w:rFonts w:ascii="Times New Roman" w:eastAsia="Times New Roman" w:hAnsi="Times New Roman" w:cs="Times New Roman"/>
                <w:b w:val="0"/>
                <w:i w:val="0"/>
                <w:vanish w:val="0"/>
                <w:color w:val="000000"/>
                <w:sz w:val="20"/>
                <w:vertAlign w:val="baseline"/>
              </w:rPr>
            </w:pPr>
          </w:p>
        </w:tc>
        <w:tc>
          <w:tcPr>
            <w:tcW w:w="36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Rezultati spremljanja uporabe pravil javnega naročanja so del nacionalnega poročanja Evropski komisiji, ki poteka vsaka 3 leta. Poročilo je informacija javnega značaja. Za večjo preglednost rezultatov spremljanja bo MNZJU na svojih spletnih straneh v delu Poročila in analize (skupaj z nacionalnimi letnimi statističnimi poročili, ki so že objavljena z vsebino, kot predstavljeno v točki 1) objavilo tudi povezavo na omenjeno spletno stran Evropske komisije.</w:t>
            </w:r>
          </w:p>
          <w:p w:rsidR="00A77B3E">
            <w:pPr>
              <w:spacing w:before="100" w:after="0"/>
              <w:jc w:val="left"/>
              <w:rPr>
                <w:rFonts w:ascii="Times New Roman" w:eastAsia="Times New Roman" w:hAnsi="Times New Roman" w:cs="Times New Roman"/>
                <w:b w:val="0"/>
                <w:i w:val="0"/>
                <w:vanish w:val="0"/>
                <w:color w:val="000000"/>
                <w:sz w:val="20"/>
                <w:vertAlign w:val="baseline"/>
              </w:rPr>
            </w:pPr>
          </w:p>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Sicer pa so običajno vse odločitve in poročila, ki jih sprejmejo različni državni organi (Državna revizijska komisija za revizijo postopkov oddaje javnih naročil, Komisija za preprečevanje korupcije, Računsko sodišče Republike Slovenije), vsak v okviru svoje pristojnosti na področju javnih naročil kot t.i. zagovorniki javnega interesa na podlagi zakona, ki ureja pravno varstvo v postopkih javnega naročanja, objavljeni na njihovih spletnih straneh. Poročila poleg ugotovitev vsebujejo tudi priporočila za izboljšanje sistemske ureditve javnega naročanja.</w:t>
            </w:r>
          </w:p>
          <w:p w:rsidR="00A77B3E">
            <w:pPr>
              <w:spacing w:before="100" w:after="0"/>
              <w:jc w:val="left"/>
              <w:rPr>
                <w:rFonts w:ascii="Times New Roman" w:eastAsia="Times New Roman" w:hAnsi="Times New Roman" w:cs="Times New Roman"/>
                <w:b w:val="0"/>
                <w:i w:val="0"/>
                <w:vanish w:val="0"/>
                <w:color w:val="000000"/>
                <w:sz w:val="20"/>
                <w:vertAlign w:val="baseline"/>
              </w:rPr>
            </w:pPr>
          </w:p>
        </w:tc>
      </w:tr>
      <w:tr>
        <w:tblPrEx>
          <w:tblW w:w="0" w:type="auto"/>
          <w:tblLayout w:type="fixed"/>
        </w:tblPrEx>
        <w:trPr>
          <w:cantSplit w:val="0"/>
          <w:trHeight w:hRule="auto" w:val="0"/>
          <w:tblHeader w:val="0"/>
        </w:trPr>
        <w:tc>
          <w:tcPr>
            <w:tcW w:w="1600" w:type="dxa"/>
            <w:vMerge/>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vertAlign w:val="baseline"/>
              </w:rPr>
            </w:pPr>
          </w:p>
        </w:tc>
        <w:tc>
          <w:tcPr>
            <w:tcW w:w="1600" w:type="dxa"/>
            <w:vMerge/>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vertAlign w:val="baseline"/>
              </w:rPr>
            </w:pPr>
          </w:p>
        </w:tc>
        <w:tc>
          <w:tcPr>
            <w:tcW w:w="36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5. ureditve za zagotovitev, da se vse informacije, ki kažejo na domnevne primere manipulacij pri razpisnih postopkih, sporočijo pristojnim nacionalnim telesom v skladu s členom 83(2) Direktive 2014/24/EU in členom 99(2) Direktive 2014/25/EU.</w:t>
            </w:r>
          </w:p>
        </w:tc>
        <w:tc>
          <w:tcPr>
            <w:tcW w:w="16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Da</w:t>
            </w:r>
          </w:p>
        </w:tc>
        <w:tc>
          <w:tcPr>
            <w:tcW w:w="36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Zakon o javnem naročanju (ZJN-3)</w:t>
            </w:r>
          </w:p>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http://www.pisrs.si/Pis.web/pregledPredpisa?id=ZAKO7086</w:t>
            </w:r>
          </w:p>
          <w:p w:rsidR="00A77B3E">
            <w:pPr>
              <w:spacing w:before="100" w:after="0"/>
              <w:jc w:val="left"/>
              <w:rPr>
                <w:rFonts w:ascii="Times New Roman" w:eastAsia="Times New Roman" w:hAnsi="Times New Roman" w:cs="Times New Roman"/>
                <w:b w:val="0"/>
                <w:i w:val="0"/>
                <w:vanish w:val="0"/>
                <w:color w:val="000000"/>
                <w:sz w:val="20"/>
                <w:vertAlign w:val="baseline"/>
              </w:rPr>
            </w:pPr>
          </w:p>
        </w:tc>
        <w:tc>
          <w:tcPr>
            <w:tcW w:w="36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V skladu z ZJN-3 (114. člen) MNZJU zagotavlja spremljanje uporabe pravil o javnem naročanju (JN). Ko ugotovi ali prejme podatke, ki kažejo na posamezne kršitve ali sistemske težave, obvesti pristojne organe (Urad RS za nadzor proračuna, Računsko sodišče RS, Državno revizijsko komisijo, Agencijo RS za varstvo konkurence (AVK), Komisijo za preprečevanje korupcije), ki vsak ustrezno ukrepajo. Ta obveznost izhaja iz zakona, zato dodatni dogovori niso sklenjeni. Državni organi so dolžni spoštovati vso relevantno pozitivno zakonodajo, vključno s pravili poslovanja in postopkovnimi pravili. ZJN-3 opredeljuje izključitvene razloge, povezane z omejevanjem konkurence (75. člen).</w:t>
            </w:r>
          </w:p>
          <w:p w:rsidR="00A77B3E">
            <w:pPr>
              <w:spacing w:before="100" w:after="0"/>
              <w:jc w:val="left"/>
              <w:rPr>
                <w:rFonts w:ascii="Times New Roman" w:eastAsia="Times New Roman" w:hAnsi="Times New Roman" w:cs="Times New Roman"/>
                <w:b w:val="0"/>
                <w:i w:val="0"/>
                <w:vanish w:val="0"/>
                <w:color w:val="000000"/>
                <w:sz w:val="20"/>
                <w:vertAlign w:val="baseline"/>
              </w:rPr>
            </w:pPr>
          </w:p>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Preventivno vpliva tudi informatizacija postopka JN. Visoka transparentnost (objava obvestil, sklepov o oddaji, pogodb, razpisnih cen) je eden ključnih ukrepov v boju proti nedovoljenem dogovarjanju. MNZJU in AVK redno izvajata pregled stanja sistema JN. AVK izvaja zagovorništvo javnega interesa glede konkurence in svetuje naročnikom. Izvedeno je bilo izobraževanje o prepoznavanju in poročanju o usklajenih ravnanjih v postopkih JN (javno dostopno).</w:t>
            </w:r>
          </w:p>
          <w:p w:rsidR="00A77B3E">
            <w:pPr>
              <w:spacing w:before="100" w:after="0"/>
              <w:jc w:val="left"/>
              <w:rPr>
                <w:rFonts w:ascii="Times New Roman" w:eastAsia="Times New Roman" w:hAnsi="Times New Roman" w:cs="Times New Roman"/>
                <w:b w:val="0"/>
                <w:i w:val="0"/>
                <w:vanish w:val="0"/>
                <w:color w:val="000000"/>
                <w:sz w:val="20"/>
                <w:vertAlign w:val="baseline"/>
              </w:rPr>
            </w:pPr>
          </w:p>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Glej tudi merili 1 in 3.</w:t>
            </w:r>
          </w:p>
          <w:p w:rsidR="00A77B3E">
            <w:pPr>
              <w:spacing w:before="100" w:after="0"/>
              <w:jc w:val="left"/>
              <w:rPr>
                <w:rFonts w:ascii="Times New Roman" w:eastAsia="Times New Roman" w:hAnsi="Times New Roman" w:cs="Times New Roman"/>
                <w:b w:val="0"/>
                <w:i w:val="0"/>
                <w:vanish w:val="0"/>
                <w:color w:val="000000"/>
                <w:sz w:val="20"/>
                <w:vertAlign w:val="baseline"/>
              </w:rPr>
            </w:pPr>
          </w:p>
        </w:tc>
      </w:tr>
      <w:tr>
        <w:tblPrEx>
          <w:tblW w:w="0" w:type="auto"/>
          <w:tblLayout w:type="fixed"/>
        </w:tblPrEx>
        <w:trPr>
          <w:cantSplit w:val="0"/>
          <w:trHeight w:hRule="auto" w:val="0"/>
          <w:tblHeader w:val="0"/>
        </w:trPr>
        <w:tc>
          <w:tcPr>
            <w:tcW w:w="1600" w:type="dxa"/>
            <w:vMerge w:val="restar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3. Učinkovita uporaba in izvajanje Listine o temeljnih pravicah</w:t>
            </w:r>
          </w:p>
        </w:tc>
        <w:tc>
          <w:tcPr>
            <w:tcW w:w="1600" w:type="dxa"/>
            <w:vMerge w:val="restar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Da</w:t>
            </w:r>
          </w:p>
        </w:tc>
        <w:tc>
          <w:tcPr>
            <w:tcW w:w="36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 xml:space="preserve">Vzpostavljeni so učinkoviti mehanizmi za zagotavljanje skladnosti z Listino Evropske unije o temeljnih pravicah (v nadaljevanju: Listina), ki vključujejo: </w:t>
            </w:r>
          </w:p>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1. ureditve za zagotovitev skladnosti programov, ki jih podpirajo skladi, in njihovega izvajanja z ustreznimi določbami Listine;</w:t>
            </w:r>
          </w:p>
        </w:tc>
        <w:tc>
          <w:tcPr>
            <w:tcW w:w="16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Da</w:t>
            </w:r>
          </w:p>
        </w:tc>
        <w:tc>
          <w:tcPr>
            <w:tcW w:w="36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Smiselna uporaba Postopkovnika za zagotavljanje horizontalnega omogočitvenega pogoja “Učinkovita uporaba in izvajanje Listine o temeljnih pravicah” Službe Vlade RS za razvoj in evropsko kohezijsko politiko (v nadaljevanju: Postopkovnik) do sprejema programskih dokumentov: Opis sistema upravljanja in nadzora za sklade s področja notranje varnosti in migracij 2021-2027, Priročnika organa upravljanja ter Navodil organa upravljanja.</w:t>
            </w:r>
          </w:p>
        </w:tc>
        <w:tc>
          <w:tcPr>
            <w:tcW w:w="36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Listina EU o temeljnih pravicah je bila upoštevana pri pripravi Programa ter bo tudi pri izvajanju, spremljanju in vrednotenju. V Sloveniji je Varuh človekovih pravic nadzornik oblasti, ki s svojim delovanjem omejuje njeno samovoljo pri poseganju v človekove pravice in temeljne svoboščin in deluje v primeru kakršnekoli kršitve katerekoli pravice posameznika s strani nosilcev oblasti. Je eden izmed ključnih deležnikov, ki bo vključen v vse faze izvajanja Programa.</w:t>
            </w:r>
          </w:p>
          <w:p w:rsidR="00A77B3E">
            <w:pPr>
              <w:spacing w:before="100" w:after="0"/>
              <w:jc w:val="left"/>
              <w:rPr>
                <w:rFonts w:ascii="Times New Roman" w:eastAsia="Times New Roman" w:hAnsi="Times New Roman" w:cs="Times New Roman"/>
                <w:b w:val="0"/>
                <w:i w:val="0"/>
                <w:vanish w:val="0"/>
                <w:color w:val="000000"/>
                <w:sz w:val="20"/>
                <w:vertAlign w:val="baseline"/>
              </w:rPr>
            </w:pPr>
          </w:p>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Postopki preverjanja skladnosti operacij kot tudi naloge organov bodo določeni v Opisu sistema upravljanja in nadzora, Priročniku organa upravljanja ter Navodilih organa upravljanja. Merila za preverjanje skladnosti operacij z Listino bodo vključena v kontrolne liste.</w:t>
            </w:r>
          </w:p>
          <w:p w:rsidR="00A77B3E">
            <w:pPr>
              <w:spacing w:before="100" w:after="0"/>
              <w:jc w:val="left"/>
              <w:rPr>
                <w:rFonts w:ascii="Times New Roman" w:eastAsia="Times New Roman" w:hAnsi="Times New Roman" w:cs="Times New Roman"/>
                <w:b w:val="0"/>
                <w:i w:val="0"/>
                <w:vanish w:val="0"/>
                <w:color w:val="000000"/>
                <w:sz w:val="20"/>
                <w:vertAlign w:val="baseline"/>
              </w:rPr>
            </w:pPr>
          </w:p>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 xml:space="preserve">Priprava dokumentov bo potekala v sodelovanju z Varuhom človekovih pravic RS, do njihove uveljavitve pa se bo smiselno upošteval Postopkovnik. </w:t>
            </w:r>
          </w:p>
          <w:p w:rsidR="00A77B3E">
            <w:pPr>
              <w:spacing w:before="100" w:after="0"/>
              <w:jc w:val="left"/>
              <w:rPr>
                <w:rFonts w:ascii="Times New Roman" w:eastAsia="Times New Roman" w:hAnsi="Times New Roman" w:cs="Times New Roman"/>
                <w:b w:val="0"/>
                <w:i w:val="0"/>
                <w:vanish w:val="0"/>
                <w:color w:val="000000"/>
                <w:sz w:val="20"/>
                <w:vertAlign w:val="baseline"/>
              </w:rPr>
            </w:pPr>
          </w:p>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OU bo v sodelovanju s pristojnim Varuhom človekovih pravic RS izvedel usposabljanja za osebe, ki bodo preverjale skladnost operacij z Listino, ter drugih ključnih deležnikov.</w:t>
            </w:r>
          </w:p>
          <w:p w:rsidR="00A77B3E">
            <w:pPr>
              <w:spacing w:before="100" w:after="0"/>
              <w:jc w:val="left"/>
              <w:rPr>
                <w:rFonts w:ascii="Times New Roman" w:eastAsia="Times New Roman" w:hAnsi="Times New Roman" w:cs="Times New Roman"/>
                <w:b w:val="0"/>
                <w:i w:val="0"/>
                <w:vanish w:val="0"/>
                <w:color w:val="000000"/>
                <w:sz w:val="20"/>
                <w:vertAlign w:val="baseline"/>
              </w:rPr>
            </w:pPr>
          </w:p>
        </w:tc>
      </w:tr>
      <w:tr>
        <w:tblPrEx>
          <w:tblW w:w="0" w:type="auto"/>
          <w:tblLayout w:type="fixed"/>
        </w:tblPrEx>
        <w:trPr>
          <w:cantSplit w:val="0"/>
          <w:trHeight w:hRule="auto" w:val="0"/>
          <w:tblHeader w:val="0"/>
        </w:trPr>
        <w:tc>
          <w:tcPr>
            <w:tcW w:w="1600" w:type="dxa"/>
            <w:vMerge/>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vertAlign w:val="baseline"/>
              </w:rPr>
            </w:pPr>
          </w:p>
        </w:tc>
        <w:tc>
          <w:tcPr>
            <w:tcW w:w="1600" w:type="dxa"/>
            <w:vMerge/>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vertAlign w:val="baseline"/>
              </w:rPr>
            </w:pPr>
          </w:p>
        </w:tc>
        <w:tc>
          <w:tcPr>
            <w:tcW w:w="36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2. ureditve poročanja odboru za spremljanje o primerih neskladnosti operacij, ki jih podpirajo skladi, z Listino in pritožbah glede Listine, predloženih v skladu z ureditvami na podlagi člena 69(7).</w:t>
            </w:r>
          </w:p>
        </w:tc>
        <w:tc>
          <w:tcPr>
            <w:tcW w:w="16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Da</w:t>
            </w:r>
          </w:p>
        </w:tc>
        <w:tc>
          <w:tcPr>
            <w:tcW w:w="36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Smiselna uporaba Postopkovnika za zagotavljanje horizontalnega omogočitvenega pogoja “Učinkovita uporaba in izvajanje Listine o temeljnih pravicah” Službe Vlade RS za razvoj in evropsko kohezijsko politiko (v nadaljevanju: Postopkovnik) do sprejema programskih dokumentov: Opis sistema upravljanja in nadzora za sklade s področja notranje varnosti in migracij 2021-2027, Priročnika organa upravljanja ter Navodil organa upravljanja.</w:t>
            </w:r>
          </w:p>
        </w:tc>
        <w:tc>
          <w:tcPr>
            <w:tcW w:w="36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Varuh človekovih pravic bo enkrat letno OU posredoval informacijo o morebitnih pritožbah, ki jih je prejel v okviru svojih pooblastil od posameznih oseb.</w:t>
            </w:r>
          </w:p>
          <w:p w:rsidR="00A77B3E">
            <w:pPr>
              <w:spacing w:before="100" w:after="0"/>
              <w:jc w:val="left"/>
              <w:rPr>
                <w:rFonts w:ascii="Times New Roman" w:eastAsia="Times New Roman" w:hAnsi="Times New Roman" w:cs="Times New Roman"/>
                <w:b w:val="0"/>
                <w:i w:val="0"/>
                <w:vanish w:val="0"/>
                <w:color w:val="000000"/>
                <w:sz w:val="20"/>
                <w:vertAlign w:val="baseline"/>
              </w:rPr>
            </w:pPr>
          </w:p>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OU bo imenoval odgovorno osebo, ki bo zadolžena za spremljanje in poročanje odboru za spremljanje skladov o morebitnih ugotovljenih neskladjih v postopkih upravljalnih preverjanj, revizij, vloženih spletnih pritožb, pritožbah, ki so bile naslovljene na Varuha človekovih pravic, ipd., ter o izvedenih popravljalnih ukrepih.</w:t>
            </w:r>
          </w:p>
          <w:p w:rsidR="00A77B3E">
            <w:pPr>
              <w:spacing w:before="100" w:after="0"/>
              <w:jc w:val="left"/>
              <w:rPr>
                <w:rFonts w:ascii="Times New Roman" w:eastAsia="Times New Roman" w:hAnsi="Times New Roman" w:cs="Times New Roman"/>
                <w:b w:val="0"/>
                <w:i w:val="0"/>
                <w:vanish w:val="0"/>
                <w:color w:val="000000"/>
                <w:sz w:val="20"/>
                <w:vertAlign w:val="baseline"/>
              </w:rPr>
            </w:pPr>
          </w:p>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Imenovana odgovorna oseba bo enkrat letno pripravila poročilo za odbor za spremljanje skladov, ki bo vsebovalo informacijo o številu ugotovljenih neskladij in pritožb, vsebini in izvedenih popravljalnih ukrepih.</w:t>
            </w:r>
          </w:p>
          <w:p w:rsidR="00A77B3E">
            <w:pPr>
              <w:spacing w:before="100" w:after="0"/>
              <w:jc w:val="left"/>
              <w:rPr>
                <w:rFonts w:ascii="Times New Roman" w:eastAsia="Times New Roman" w:hAnsi="Times New Roman" w:cs="Times New Roman"/>
                <w:b w:val="0"/>
                <w:i w:val="0"/>
                <w:vanish w:val="0"/>
                <w:color w:val="000000"/>
                <w:sz w:val="20"/>
                <w:vertAlign w:val="baseline"/>
              </w:rPr>
            </w:pPr>
          </w:p>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Na spletni strani OU ter https://evropskasredstva.si/ bo objavljen spletni obrazec za pritožbe na podlagi 7. odstavka 69. člena Uredbe (EU) 2021/1060.</w:t>
            </w:r>
          </w:p>
        </w:tc>
      </w:tr>
      <w:tr>
        <w:tblPrEx>
          <w:tblW w:w="0" w:type="auto"/>
          <w:tblLayout w:type="fixed"/>
        </w:tblPrEx>
        <w:trPr>
          <w:cantSplit w:val="0"/>
          <w:trHeight w:hRule="auto" w:val="0"/>
          <w:tblHeader w:val="0"/>
        </w:trPr>
        <w:tc>
          <w:tcPr>
            <w:tcW w:w="1600" w:type="dxa"/>
            <w:vMerge w:val="restar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4. Izvajanje in uporaba Konvencije Združenih narodov o pravicah invalidov v skladu s Sklepom Sveta 2010/48/ES</w:t>
            </w:r>
          </w:p>
        </w:tc>
        <w:tc>
          <w:tcPr>
            <w:tcW w:w="1600" w:type="dxa"/>
            <w:vMerge w:val="restar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Da</w:t>
            </w:r>
          </w:p>
        </w:tc>
        <w:tc>
          <w:tcPr>
            <w:tcW w:w="36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 xml:space="preserve">Vzpostavljen je nacionalni okvir za izvajanje Konvencije Združenih narodov o pravicah invalidov, ki vključuje: </w:t>
            </w:r>
          </w:p>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1. cilje z merljivimi vrednostmi, zbiranje podatkov in mehanizme spremljanja;</w:t>
            </w:r>
          </w:p>
        </w:tc>
        <w:tc>
          <w:tcPr>
            <w:tcW w:w="16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Da</w:t>
            </w:r>
          </w:p>
        </w:tc>
        <w:tc>
          <w:tcPr>
            <w:tcW w:w="36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Akcijski program za invalide 2022-2030 (API)</w:t>
            </w:r>
          </w:p>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https://www.gov.si/zbirke/projekti-in-programi/akcijski-program-za-invalide/</w:t>
            </w:r>
          </w:p>
          <w:p w:rsidR="00A77B3E">
            <w:pPr>
              <w:spacing w:before="100" w:after="0"/>
              <w:jc w:val="left"/>
              <w:rPr>
                <w:rFonts w:ascii="Times New Roman" w:eastAsia="Times New Roman" w:hAnsi="Times New Roman" w:cs="Times New Roman"/>
                <w:b w:val="0"/>
                <w:i w:val="0"/>
                <w:vanish w:val="0"/>
                <w:color w:val="000000"/>
                <w:sz w:val="20"/>
                <w:vertAlign w:val="baseline"/>
              </w:rPr>
            </w:pPr>
          </w:p>
        </w:tc>
        <w:tc>
          <w:tcPr>
            <w:tcW w:w="36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Vlada RS je oktobra 2021 sprejela Akcijski program za invalide 2022-2030 (API), katerega namen je spodbujati, varovati in zagotavljati polnopravno in enakovredno uživanje človekovih pravic invalidov in spodbujanje njihovega dostojanstva. 7. 4. 2022 je bila imenovana Komisija za spremljanje API. Sestavljena je iz skupine predstavnikov vseh resornih ministrstev, strokovnih organizacij, Nacionalnega sveta invalidskih organizacij Slovenije ter drugih invalidskih organizacij in Zveze društev upokojencev. Naloga Komisije je priprava letnega poročila o izvajanju API za Vlado RS. Poročevalci beležijo vse dejavnosti, ki so bile izvedene v letu v okviru predvidenih 13 ciljev in 120 ukrepov API. Mnenje na letno poročilo Komisije poda Svet za invalide (posvetovalni, neodvisen tripartitni organ, ustanovljen na podlagi 33. člena Konvencije ZN o pravicah invalidov in EU strategije za invalide 2021-30), ki je med drugim zadolžen za spodbujanje in spremljanje izvajanja Zakona o ratifikaciji  Konvencije kot tudi za spremljanje implementacije API.</w:t>
            </w:r>
          </w:p>
          <w:p w:rsidR="00A77B3E">
            <w:pPr>
              <w:spacing w:before="100" w:after="0"/>
              <w:jc w:val="left"/>
              <w:rPr>
                <w:rFonts w:ascii="Times New Roman" w:eastAsia="Times New Roman" w:hAnsi="Times New Roman" w:cs="Times New Roman"/>
                <w:b w:val="0"/>
                <w:i w:val="0"/>
                <w:vanish w:val="0"/>
                <w:color w:val="000000"/>
                <w:sz w:val="20"/>
                <w:vertAlign w:val="baseline"/>
              </w:rPr>
            </w:pPr>
          </w:p>
        </w:tc>
      </w:tr>
      <w:tr>
        <w:tblPrEx>
          <w:tblW w:w="0" w:type="auto"/>
          <w:tblLayout w:type="fixed"/>
        </w:tblPrEx>
        <w:trPr>
          <w:cantSplit w:val="0"/>
          <w:trHeight w:hRule="auto" w:val="0"/>
          <w:tblHeader w:val="0"/>
        </w:trPr>
        <w:tc>
          <w:tcPr>
            <w:tcW w:w="1600" w:type="dxa"/>
            <w:vMerge/>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vertAlign w:val="baseline"/>
              </w:rPr>
            </w:pPr>
          </w:p>
        </w:tc>
        <w:tc>
          <w:tcPr>
            <w:tcW w:w="1600" w:type="dxa"/>
            <w:vMerge/>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vertAlign w:val="baseline"/>
              </w:rPr>
            </w:pPr>
          </w:p>
        </w:tc>
        <w:tc>
          <w:tcPr>
            <w:tcW w:w="36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2. ureditve za zagotovitev, da se politika, zakonodaja in standardi dostopnosti ustrezno upoštevajo pri pripravi in izvajanju programov;</w:t>
            </w:r>
          </w:p>
        </w:tc>
        <w:tc>
          <w:tcPr>
            <w:tcW w:w="16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Da</w:t>
            </w:r>
          </w:p>
        </w:tc>
        <w:tc>
          <w:tcPr>
            <w:tcW w:w="36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Akcijski program za invalide 2022-2030 (API)</w:t>
            </w:r>
          </w:p>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https://www.gov.si/zbirke/projekti-in-programi/akcijski-program-za-invalide/</w:t>
            </w:r>
          </w:p>
          <w:p w:rsidR="00A77B3E">
            <w:pPr>
              <w:spacing w:before="100" w:after="0"/>
              <w:jc w:val="left"/>
              <w:rPr>
                <w:rFonts w:ascii="Times New Roman" w:eastAsia="Times New Roman" w:hAnsi="Times New Roman" w:cs="Times New Roman"/>
                <w:b w:val="0"/>
                <w:i w:val="0"/>
                <w:vanish w:val="0"/>
                <w:color w:val="000000"/>
                <w:sz w:val="20"/>
                <w:vertAlign w:val="baseline"/>
              </w:rPr>
            </w:pPr>
          </w:p>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Zakon o izenačevanju možnosti invalidov (ZIMI)</w:t>
            </w:r>
          </w:p>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http://www.pisrs.si/Pis.web/pregledPredpisa?id=ZAKO4342</w:t>
            </w:r>
          </w:p>
          <w:p w:rsidR="00A77B3E">
            <w:pPr>
              <w:spacing w:before="100" w:after="0"/>
              <w:jc w:val="left"/>
              <w:rPr>
                <w:rFonts w:ascii="Times New Roman" w:eastAsia="Times New Roman" w:hAnsi="Times New Roman" w:cs="Times New Roman"/>
                <w:b w:val="0"/>
                <w:i w:val="0"/>
                <w:vanish w:val="0"/>
                <w:color w:val="000000"/>
                <w:sz w:val="20"/>
                <w:vertAlign w:val="baseline"/>
              </w:rPr>
            </w:pPr>
          </w:p>
          <w:p w:rsidR="00A77B3E">
            <w:pPr>
              <w:spacing w:before="100" w:after="0"/>
              <w:jc w:val="left"/>
              <w:rPr>
                <w:rFonts w:ascii="Times New Roman" w:eastAsia="Times New Roman" w:hAnsi="Times New Roman" w:cs="Times New Roman"/>
                <w:b w:val="0"/>
                <w:i w:val="0"/>
                <w:vanish w:val="0"/>
                <w:color w:val="000000"/>
                <w:sz w:val="20"/>
                <w:vertAlign w:val="baseline"/>
              </w:rPr>
            </w:pPr>
          </w:p>
        </w:tc>
        <w:tc>
          <w:tcPr>
            <w:tcW w:w="36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Skladnost s Konvencijo je bila zagotovljena v fazi programiranja, saj so bile v proces priprave Programa vključene organizacije pristojne za spremljanje izvajanja Konvencije, ki bodo sodelovale tudi pri izvajanju, spremljanju in vrednotenju Programa.</w:t>
            </w:r>
          </w:p>
          <w:p w:rsidR="00A77B3E">
            <w:pPr>
              <w:spacing w:before="100" w:after="0"/>
              <w:jc w:val="left"/>
              <w:rPr>
                <w:rFonts w:ascii="Times New Roman" w:eastAsia="Times New Roman" w:hAnsi="Times New Roman" w:cs="Times New Roman"/>
                <w:b w:val="0"/>
                <w:i w:val="0"/>
                <w:vanish w:val="0"/>
                <w:color w:val="000000"/>
                <w:sz w:val="20"/>
                <w:vertAlign w:val="baseline"/>
              </w:rPr>
            </w:pPr>
          </w:p>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Postopki preverjanja skladnosti operacij s Konvencijo kot tudi naloge organov bodo določeni v Opisu sistema upravljanja in nadzora, Priročniku organa upravljanja ter Navodilih organa upravljanja. Merila za preverjanje skladnosti operacij s Konvencijo  bodo vključena v kontrolne liste.</w:t>
            </w:r>
          </w:p>
          <w:p w:rsidR="00A77B3E">
            <w:pPr>
              <w:spacing w:before="100" w:after="0"/>
              <w:jc w:val="left"/>
              <w:rPr>
                <w:rFonts w:ascii="Times New Roman" w:eastAsia="Times New Roman" w:hAnsi="Times New Roman" w:cs="Times New Roman"/>
                <w:b w:val="0"/>
                <w:i w:val="0"/>
                <w:vanish w:val="0"/>
                <w:color w:val="000000"/>
                <w:sz w:val="20"/>
                <w:vertAlign w:val="baseline"/>
              </w:rPr>
            </w:pPr>
          </w:p>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V načrtu ukrepov za krepitev upravne zmogljivosti so predvidena usposabljanja in izobraževanja ključnih deležnikov na tem področju, ki bo pripravljeno v sodelovanju s Komisijo za spremljanje API in ostalimi relevantnimi strokovnjaki.</w:t>
            </w:r>
          </w:p>
          <w:p w:rsidR="00A77B3E">
            <w:pPr>
              <w:spacing w:before="100" w:after="0"/>
              <w:jc w:val="left"/>
              <w:rPr>
                <w:rFonts w:ascii="Times New Roman" w:eastAsia="Times New Roman" w:hAnsi="Times New Roman" w:cs="Times New Roman"/>
                <w:b w:val="0"/>
                <w:i w:val="0"/>
                <w:vanish w:val="0"/>
                <w:color w:val="000000"/>
                <w:sz w:val="20"/>
                <w:vertAlign w:val="baseline"/>
              </w:rPr>
            </w:pPr>
          </w:p>
        </w:tc>
      </w:tr>
      <w:tr>
        <w:tblPrEx>
          <w:tblW w:w="0" w:type="auto"/>
          <w:tblLayout w:type="fixed"/>
        </w:tblPrEx>
        <w:trPr>
          <w:cantSplit w:val="0"/>
          <w:trHeight w:hRule="auto" w:val="0"/>
          <w:tblHeader w:val="0"/>
        </w:trPr>
        <w:tc>
          <w:tcPr>
            <w:tcW w:w="1600" w:type="dxa"/>
            <w:vMerge/>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vertAlign w:val="baseline"/>
              </w:rPr>
            </w:pPr>
          </w:p>
        </w:tc>
        <w:tc>
          <w:tcPr>
            <w:tcW w:w="1600" w:type="dxa"/>
            <w:vMerge/>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vertAlign w:val="baseline"/>
              </w:rPr>
            </w:pPr>
          </w:p>
        </w:tc>
        <w:tc>
          <w:tcPr>
            <w:tcW w:w="36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3. ureditve poročanja odboru za spremljanje o primerih neskladnosti operacij, ki jih podpirajo skladi, s Konvencijo Združenih narodov o pravicah invalidov in pritožbah glede navedene konvencije, predloženih v skladu z ureditvami na podlagi člena 69(7).</w:t>
            </w:r>
          </w:p>
        </w:tc>
        <w:tc>
          <w:tcPr>
            <w:tcW w:w="16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Da</w:t>
            </w:r>
          </w:p>
        </w:tc>
        <w:tc>
          <w:tcPr>
            <w:tcW w:w="36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Akcijski program za invalide 2022-2030 (API)</w:t>
            </w:r>
          </w:p>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https://www.gov.si/zbirke/projekti-in-programi/akcijski-program-za-invalide/</w:t>
            </w:r>
          </w:p>
          <w:p w:rsidR="00A77B3E">
            <w:pPr>
              <w:spacing w:before="100" w:after="0"/>
              <w:jc w:val="left"/>
              <w:rPr>
                <w:rFonts w:ascii="Times New Roman" w:eastAsia="Times New Roman" w:hAnsi="Times New Roman" w:cs="Times New Roman"/>
                <w:b w:val="0"/>
                <w:i w:val="0"/>
                <w:vanish w:val="0"/>
                <w:color w:val="000000"/>
                <w:sz w:val="20"/>
                <w:vertAlign w:val="baseline"/>
              </w:rPr>
            </w:pPr>
          </w:p>
          <w:p w:rsidR="00A77B3E">
            <w:pPr>
              <w:spacing w:before="100" w:after="0"/>
              <w:jc w:val="left"/>
              <w:rPr>
                <w:rFonts w:ascii="Times New Roman" w:eastAsia="Times New Roman" w:hAnsi="Times New Roman" w:cs="Times New Roman"/>
                <w:b w:val="0"/>
                <w:i w:val="0"/>
                <w:vanish w:val="0"/>
                <w:color w:val="000000"/>
                <w:sz w:val="20"/>
                <w:vertAlign w:val="baseline"/>
              </w:rPr>
            </w:pPr>
          </w:p>
        </w:tc>
        <w:tc>
          <w:tcPr>
            <w:tcW w:w="36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Komisija za spremljanje API bo pripravila letno poročilo, s katerim bo seznanila OU. Mnenje na poročilo bo podal Svet za invalide, ter se izrekel o morebitnih pritožbah in ugotovljenih neskladjih.</w:t>
            </w:r>
          </w:p>
          <w:p w:rsidR="00A77B3E">
            <w:pPr>
              <w:spacing w:before="100" w:after="0"/>
              <w:jc w:val="left"/>
              <w:rPr>
                <w:rFonts w:ascii="Times New Roman" w:eastAsia="Times New Roman" w:hAnsi="Times New Roman" w:cs="Times New Roman"/>
                <w:b w:val="0"/>
                <w:i w:val="0"/>
                <w:vanish w:val="0"/>
                <w:color w:val="000000"/>
                <w:sz w:val="20"/>
                <w:vertAlign w:val="baseline"/>
              </w:rPr>
            </w:pPr>
          </w:p>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OU bo imenoval odgovorno osebo, ki bo zadolžena za spremljanje in poročanje odboru za spremljanje skladov o morebitnih ugotovljenih neskladjih v postopkih upravljalnih preverjanj, revizij, vloženih spletnih pritožb, ugotovitvah Komisije za spremljanje API, ter o izvedenih popravljalnih ukrepih.</w:t>
            </w:r>
          </w:p>
          <w:p w:rsidR="00A77B3E">
            <w:pPr>
              <w:spacing w:before="100" w:after="0"/>
              <w:jc w:val="left"/>
              <w:rPr>
                <w:rFonts w:ascii="Times New Roman" w:eastAsia="Times New Roman" w:hAnsi="Times New Roman" w:cs="Times New Roman"/>
                <w:b w:val="0"/>
                <w:i w:val="0"/>
                <w:vanish w:val="0"/>
                <w:color w:val="000000"/>
                <w:sz w:val="20"/>
                <w:vertAlign w:val="baseline"/>
              </w:rPr>
            </w:pPr>
          </w:p>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Imenovana odgovorna oseba bo enkrat letno pripravila poročilo za odbor za spremljanje skladov, ki bo vsebovalo informacijo o ugotovljenih neskladjih in pritožbah, vsebini in izvedenih popravljalnih ukrepih.</w:t>
            </w:r>
          </w:p>
          <w:p w:rsidR="00A77B3E">
            <w:pPr>
              <w:spacing w:before="100" w:after="0"/>
              <w:jc w:val="left"/>
              <w:rPr>
                <w:rFonts w:ascii="Times New Roman" w:eastAsia="Times New Roman" w:hAnsi="Times New Roman" w:cs="Times New Roman"/>
                <w:b w:val="0"/>
                <w:i w:val="0"/>
                <w:vanish w:val="0"/>
                <w:color w:val="000000"/>
                <w:sz w:val="20"/>
                <w:vertAlign w:val="baseline"/>
              </w:rPr>
            </w:pPr>
          </w:p>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Pritožbe bo zbiral tudi OU, zato bo na spletni strani OU in https://evropskasredstva.si/ objavljen spletni obrazec za pritožbe na podlagi 7. odstavka 69. člena Uredbe (EU) 2021/1060.</w:t>
            </w:r>
          </w:p>
        </w:tc>
      </w:tr>
    </w:tbl>
    <w:p w:rsidR="00A77B3E">
      <w:pPr>
        <w:pStyle w:val="Heading1"/>
        <w:spacing w:before="100" w:after="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0"/>
          <w:vertAlign w:val="baseline"/>
        </w:rPr>
        <w:br w:type="page"/>
      </w:r>
      <w:bookmarkStart w:id="35" w:name="_Toc256000090"/>
      <w:r>
        <w:rPr>
          <w:rFonts w:ascii="Times New Roman" w:eastAsia="Times New Roman" w:hAnsi="Times New Roman" w:cs="Times New Roman"/>
          <w:b w:val="0"/>
          <w:i w:val="0"/>
          <w:vanish w:val="0"/>
          <w:color w:val="000000"/>
          <w:sz w:val="24"/>
          <w:vertAlign w:val="baseline"/>
        </w:rPr>
        <w:t>5. Organi, pristojni za program</w:t>
      </w:r>
      <w:bookmarkEnd w:id="35"/>
    </w:p>
    <w:p w:rsidR="00A77B3E">
      <w:pPr>
        <w:spacing w:before="100" w:after="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Sklic: člen 22(3)(k) ter člena 71 in 84 uredbe o skupnih določbah</w:t>
      </w:r>
    </w:p>
    <w:p w:rsidR="00A77B3E">
      <w:pPr>
        <w:pStyle w:val="Heading2"/>
        <w:spacing w:before="100" w:after="0"/>
        <w:jc w:val="left"/>
        <w:rPr>
          <w:rFonts w:ascii="Times New Roman" w:eastAsia="Times New Roman" w:hAnsi="Times New Roman" w:cs="Times New Roman"/>
          <w:b w:val="0"/>
          <w:i w:val="0"/>
          <w:vanish w:val="0"/>
          <w:color w:val="000000"/>
          <w:sz w:val="24"/>
          <w:vertAlign w:val="baseline"/>
        </w:rPr>
      </w:pPr>
      <w:bookmarkStart w:id="36" w:name="_Toc256000091"/>
      <w:r>
        <w:rPr>
          <w:rFonts w:ascii="Times New Roman" w:eastAsia="Times New Roman" w:hAnsi="Times New Roman" w:cs="Times New Roman"/>
          <w:b w:val="0"/>
          <w:i w:val="0"/>
          <w:vanish w:val="0"/>
          <w:color w:val="000000"/>
          <w:sz w:val="24"/>
          <w:vertAlign w:val="baseline"/>
        </w:rPr>
        <w:t>Tabela 10: Organi, pristojni za program</w:t>
      </w:r>
      <w:bookmarkEnd w:id="36"/>
    </w:p>
    <w:p w:rsidR="00A77B3E">
      <w:pPr>
        <w:spacing w:before="100" w:after="0"/>
        <w:jc w:val="left"/>
        <w:rPr>
          <w:rFonts w:ascii="Times New Roman" w:eastAsia="Times New Roman" w:hAnsi="Times New Roman" w:cs="Times New Roman"/>
          <w:b w:val="0"/>
          <w:i w:val="0"/>
          <w:vanish w:val="0"/>
          <w:color w:val="000000"/>
          <w:sz w:val="0"/>
          <w:vertAlign w:val="baselin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2878"/>
        <w:gridCol w:w="7495"/>
        <w:gridCol w:w="1477"/>
        <w:gridCol w:w="1947"/>
        <w:gridCol w:w="1505"/>
      </w:tblGrid>
      <w:tr>
        <w:tblPrEx>
          <w:tblW w:w="5000" w:type="pct"/>
        </w:tblPrEx>
        <w:trPr>
          <w:cantSplit w:val="0"/>
          <w:trHeight w:hRule="auto" w:val="0"/>
          <w:tblHeader/>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Organ, pristojen za program</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Ime nosilca</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Kontaktna oseba</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Položaj</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E-naslov</w:t>
            </w:r>
          </w:p>
        </w:tc>
      </w:tr>
      <w:tr>
        <w:tblPrEx>
          <w:tblW w:w="5000" w:type="pct"/>
        </w:tblPrEx>
        <w:trPr>
          <w:cantSplit w:val="0"/>
          <w:trHeight w:hRule="auto" w:val="0"/>
          <w:tblHeader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Organ upravljanja</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Ministrstvo za notranje zadeve in javno upravo</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mag. Lovro Lončar</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 xml:space="preserve">v.d. generalnega sekretarja </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ses.mnz@gov.si</w:t>
            </w:r>
          </w:p>
        </w:tc>
      </w:tr>
      <w:tr>
        <w:tblPrEx>
          <w:tblW w:w="5000" w:type="pct"/>
        </w:tblPrEx>
        <w:trPr>
          <w:cantSplit w:val="0"/>
          <w:trHeight w:hRule="auto" w:val="0"/>
          <w:tblHeader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Revizijski organ</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Ministrstvo za finance, Urad za nadzor proračuna</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Patricija Pergar</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direktorica</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mf.unp@gov.si</w:t>
            </w:r>
          </w:p>
        </w:tc>
      </w:tr>
      <w:tr>
        <w:tblPrEx>
          <w:tblW w:w="5000" w:type="pct"/>
        </w:tblPrEx>
        <w:trPr>
          <w:cantSplit w:val="0"/>
          <w:trHeight w:hRule="auto" w:val="0"/>
          <w:tblHeader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Telo, ki prejema plačila Evropske komisije</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Ministrstvo za finance, Direktorat za proračun ter ekonomsko in fiskalno politiko, Sektor za upravljanje s sredstvi EU/CA</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 xml:space="preserve">mag. Evelyn Filip </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vodja sektorja</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suseu.mf@gov.si</w:t>
            </w:r>
          </w:p>
        </w:tc>
      </w:tr>
    </w:tbl>
    <w:p w:rsidR="00A77B3E">
      <w:pPr>
        <w:spacing w:before="100" w:after="0"/>
        <w:jc w:val="center"/>
        <w:rPr>
          <w:rFonts w:ascii="Times New Roman" w:eastAsia="Times New Roman" w:hAnsi="Times New Roman" w:cs="Times New Roman"/>
          <w:b w:val="0"/>
          <w:i w:val="0"/>
          <w:vanish w:val="0"/>
          <w:color w:val="000000"/>
          <w:sz w:val="20"/>
          <w:vertAlign w:val="baseline"/>
        </w:rPr>
        <w:sectPr>
          <w:headerReference w:type="even" r:id="rId64"/>
          <w:headerReference w:type="default" r:id="rId65"/>
          <w:footerReference w:type="even" r:id="rId66"/>
          <w:footerReference w:type="default" r:id="rId67"/>
          <w:headerReference w:type="first" r:id="rId68"/>
          <w:footerReference w:type="first" r:id="rId69"/>
          <w:type w:val="nextPage"/>
          <w:pgSz w:w="16838" w:h="11906" w:orient="landscape"/>
          <w:pgMar w:top="720" w:right="720" w:bottom="864" w:left="936" w:header="288" w:footer="72" w:gutter="0"/>
          <w:cols w:space="708"/>
          <w:noEndnote/>
          <w:docGrid w:linePitch="360"/>
        </w:sectPr>
      </w:pPr>
    </w:p>
    <w:p w:rsidR="00A77B3E">
      <w:pPr>
        <w:pStyle w:val="Heading1"/>
        <w:spacing w:before="100" w:after="0"/>
        <w:jc w:val="left"/>
        <w:rPr>
          <w:rFonts w:ascii="Times New Roman" w:eastAsia="Times New Roman" w:hAnsi="Times New Roman" w:cs="Times New Roman"/>
          <w:b w:val="0"/>
          <w:i w:val="0"/>
          <w:vanish w:val="0"/>
          <w:color w:val="000000"/>
          <w:sz w:val="24"/>
          <w:vertAlign w:val="baseline"/>
        </w:rPr>
      </w:pPr>
      <w:bookmarkStart w:id="37" w:name="_Toc256000092"/>
      <w:r>
        <w:rPr>
          <w:rFonts w:ascii="Times New Roman" w:eastAsia="Times New Roman" w:hAnsi="Times New Roman" w:cs="Times New Roman"/>
          <w:b w:val="0"/>
          <w:i w:val="0"/>
          <w:vanish w:val="0"/>
          <w:color w:val="000000"/>
          <w:sz w:val="24"/>
          <w:vertAlign w:val="baseline"/>
        </w:rPr>
        <w:t>6. Partnerstvo</w:t>
      </w:r>
      <w:bookmarkEnd w:id="37"/>
    </w:p>
    <w:p w:rsidR="00A77B3E">
      <w:pPr>
        <w:spacing w:before="100" w:after="0"/>
        <w:jc w:val="left"/>
        <w:rPr>
          <w:rFonts w:ascii="Times New Roman" w:eastAsia="Times New Roman" w:hAnsi="Times New Roman" w:cs="Times New Roman"/>
          <w:b w:val="0"/>
          <w:i w:val="0"/>
          <w:vanish w:val="0"/>
          <w:color w:val="000000"/>
          <w:sz w:val="16"/>
          <w:vertAlign w:val="baseline"/>
        </w:rPr>
      </w:pPr>
      <w:r>
        <w:rPr>
          <w:rFonts w:ascii="Times New Roman" w:eastAsia="Times New Roman" w:hAnsi="Times New Roman" w:cs="Times New Roman"/>
          <w:b w:val="0"/>
          <w:i w:val="0"/>
          <w:vanish w:val="0"/>
          <w:color w:val="000000"/>
          <w:sz w:val="24"/>
          <w:vertAlign w:val="baseline"/>
        </w:rPr>
        <w:t>Sklic: člen 22(3)(h) uredbe o skupnih določbah</w:t>
      </w:r>
    </w:p>
    <w:p w:rsidR="00A77B3E">
      <w:pPr>
        <w:spacing w:before="100" w:after="0"/>
        <w:jc w:val="left"/>
        <w:rPr>
          <w:rFonts w:ascii="Times New Roman" w:eastAsia="Times New Roman" w:hAnsi="Times New Roman" w:cs="Times New Roman"/>
          <w:b w:val="0"/>
          <w:i w:val="0"/>
          <w:vanish w:val="0"/>
          <w:color w:val="000000"/>
          <w:sz w:val="12"/>
          <w:vertAlign w:val="baselin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Pr>
      <w:tblGrid>
        <w:gridCol w:w="10240"/>
      </w:tblGrid>
      <w:tr>
        <w:tblPrEx>
          <w:tblW w:w="5000" w:type="pct"/>
          <w:tblLayout w:type="fixed"/>
        </w:tblPrEx>
        <w:trPr>
          <w:cantSplit w:val="0"/>
          <w:trHeight w:val="160"/>
          <w:tblHeader w:val="0"/>
        </w:trPr>
        <w:tc>
          <w:tcPr>
            <w:tcW w:w="50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0"/>
                <w:vertAlign w:val="baseline"/>
              </w:rPr>
            </w:pPr>
          </w:p>
          <w:p w:rsidR="00A77B3E">
            <w:pPr>
              <w:spacing w:before="100" w:after="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Vključenost relevantnih deležnikov: V fazi priprave Programa so bili skladno z 8. členom CPR udeleženi vsi potrebni organi in ustrezni deležniki na različnih ravneh (ekonomsko–socialni partnerji, telesa, ki predstavljajo civilno družbo, regionalna, lokalna in mestna raven ter raziskovalne organizacije in univerze). Program jim je bil posredovan v podajo pisnih pripomb. Poleg tega je bil izveden javni posvet, kjer so bili cilji in aktivnosti sklada za 2021-2027 predstavljeni. Skladno s prejetimi pripombami in usmeritvami je bil Program ustrezno usklajen. Pozivi in predlogi ter odgovori OU bodo javno dostopni.</w:t>
            </w:r>
          </w:p>
          <w:p w:rsidR="00A77B3E">
            <w:pPr>
              <w:spacing w:before="100" w:after="0"/>
              <w:jc w:val="left"/>
              <w:rPr>
                <w:rFonts w:ascii="Times New Roman" w:eastAsia="Times New Roman" w:hAnsi="Times New Roman" w:cs="Times New Roman"/>
                <w:b w:val="0"/>
                <w:i w:val="0"/>
                <w:vanish w:val="0"/>
                <w:color w:val="000000"/>
                <w:sz w:val="24"/>
                <w:vertAlign w:val="baseline"/>
              </w:rPr>
            </w:pPr>
          </w:p>
          <w:p w:rsidR="00A77B3E">
            <w:pPr>
              <w:spacing w:before="100" w:after="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Ekonomsko–socialni partnerji:</w:t>
            </w:r>
          </w:p>
          <w:p w:rsidR="00A77B3E">
            <w:pPr>
              <w:numPr>
                <w:ilvl w:val="0"/>
                <w:numId w:val="20"/>
              </w:numPr>
              <w:spacing w:before="100" w:after="0"/>
              <w:ind w:left="720" w:hanging="36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Ekonomsko-socialni svet (ESS) je tristranski organ socialnih partnerjev in Vlade Republike Slovenije, ustanovljen za obravnavanje vprašanj in ukrepov v zvezi z ekonomsko in socialno politiko ter drugih vprašanj, povezanih s posebnimi področji dogovora med partnerji.</w:t>
            </w:r>
          </w:p>
          <w:p w:rsidR="00A77B3E">
            <w:pPr>
              <w:spacing w:before="100" w:after="0"/>
              <w:jc w:val="left"/>
              <w:rPr>
                <w:rFonts w:ascii="Times New Roman" w:eastAsia="Times New Roman" w:hAnsi="Times New Roman" w:cs="Times New Roman"/>
                <w:b w:val="0"/>
                <w:i w:val="0"/>
                <w:vanish w:val="0"/>
                <w:color w:val="000000"/>
                <w:sz w:val="24"/>
                <w:vertAlign w:val="baseline"/>
              </w:rPr>
            </w:pPr>
          </w:p>
          <w:p w:rsidR="00A77B3E">
            <w:pPr>
              <w:spacing w:before="100" w:after="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Telesa, ki predstavljajo civilno družbo, mednarodne organizacije, nevladne organizacije, begunske organizacije, organizacije, ki jih vodijo migranti, organizacije za človekove pravice:</w:t>
            </w:r>
          </w:p>
          <w:p w:rsidR="00A77B3E">
            <w:pPr>
              <w:numPr>
                <w:ilvl w:val="0"/>
                <w:numId w:val="21"/>
              </w:numPr>
              <w:spacing w:before="100" w:after="0"/>
              <w:ind w:left="720" w:hanging="36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CNVOS je krovna mreža slovenskih nevladnih organizacij. Združujejo več kot 1.500 različnih društev in posameznih društev, zavodov in institucij. S svojim znanjem in izkušnjami podpirajo slovenski nevladni sektor.</w:t>
            </w:r>
          </w:p>
          <w:p w:rsidR="00A77B3E">
            <w:pPr>
              <w:numPr>
                <w:ilvl w:val="0"/>
                <w:numId w:val="21"/>
              </w:numPr>
              <w:spacing w:before="100" w:after="0"/>
              <w:ind w:left="720" w:hanging="36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Mirovni inštitut in migracijski forum. Je neodvisen in neprofitni raziskovalni inštitut, ki ga je leta 1991 ustanovila skupina posameznikov, ki so verjeli v mirno reševanje konfliktov, enakost in spoštovanje človekovih pravic (dejavni na področju pravic migrantov).</w:t>
            </w:r>
          </w:p>
          <w:p w:rsidR="00A77B3E">
            <w:pPr>
              <w:numPr>
                <w:ilvl w:val="0"/>
                <w:numId w:val="21"/>
              </w:numPr>
              <w:spacing w:before="100" w:after="0"/>
              <w:ind w:left="720" w:hanging="36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Predstavnik nevladnih organizacij v obstoječem Odboru za spremljanje AMIF-SNV.</w:t>
            </w:r>
          </w:p>
          <w:p w:rsidR="00A77B3E">
            <w:pPr>
              <w:numPr>
                <w:ilvl w:val="0"/>
                <w:numId w:val="21"/>
              </w:numPr>
              <w:spacing w:before="100" w:after="0"/>
              <w:ind w:left="720" w:hanging="36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Društvo Ključ – NVO, ki deluje na področju boja proti trgovini z ljudmi.</w:t>
            </w:r>
          </w:p>
          <w:p w:rsidR="00A77B3E">
            <w:pPr>
              <w:numPr>
                <w:ilvl w:val="0"/>
                <w:numId w:val="21"/>
              </w:numPr>
              <w:spacing w:before="100" w:after="0"/>
              <w:ind w:left="720" w:hanging="36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Varuh človekovih pravic Republike Slovenije.</w:t>
            </w:r>
          </w:p>
          <w:p w:rsidR="00A77B3E">
            <w:pPr>
              <w:spacing w:before="100" w:after="0"/>
              <w:jc w:val="left"/>
              <w:rPr>
                <w:rFonts w:ascii="Times New Roman" w:eastAsia="Times New Roman" w:hAnsi="Times New Roman" w:cs="Times New Roman"/>
                <w:b w:val="0"/>
                <w:i w:val="0"/>
                <w:vanish w:val="0"/>
                <w:color w:val="000000"/>
                <w:sz w:val="24"/>
                <w:vertAlign w:val="baseline"/>
              </w:rPr>
            </w:pPr>
          </w:p>
          <w:p w:rsidR="00A77B3E">
            <w:pPr>
              <w:spacing w:before="100" w:after="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Regionalna, lokalna in mestna raven:</w:t>
            </w:r>
          </w:p>
          <w:p w:rsidR="00A77B3E">
            <w:pPr>
              <w:numPr>
                <w:ilvl w:val="0"/>
                <w:numId w:val="22"/>
              </w:numPr>
              <w:spacing w:before="100" w:after="0"/>
              <w:ind w:left="720" w:hanging="36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Združenje slovenskih občin (ZOS), ki zastopa lokalne interese in združuje 111 občin.</w:t>
            </w:r>
          </w:p>
          <w:p w:rsidR="00A77B3E">
            <w:pPr>
              <w:numPr>
                <w:ilvl w:val="0"/>
                <w:numId w:val="22"/>
              </w:numPr>
              <w:spacing w:before="100" w:after="0"/>
              <w:ind w:left="720" w:hanging="36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Skupnost občin Slovenije (SOS) je največje reprezentativno združenje lokalnih skupnosti v Sloveniji s 179 občinami članicami.</w:t>
            </w:r>
          </w:p>
          <w:p w:rsidR="00A77B3E">
            <w:pPr>
              <w:numPr>
                <w:ilvl w:val="0"/>
                <w:numId w:val="22"/>
              </w:numPr>
              <w:spacing w:before="100" w:after="0"/>
              <w:ind w:left="720" w:hanging="36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Skupnost občin Slovenije (ZMOS) je interesno združenje na državni ravni, ki zastopa interese mestnih občin na državni in mednarodni ravni.</w:t>
            </w:r>
          </w:p>
          <w:p w:rsidR="00A77B3E">
            <w:pPr>
              <w:numPr>
                <w:ilvl w:val="0"/>
                <w:numId w:val="22"/>
              </w:numPr>
              <w:spacing w:before="100" w:after="0"/>
              <w:ind w:left="720" w:hanging="36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Slovenski regionalni razvojni sklad.</w:t>
            </w:r>
          </w:p>
          <w:p w:rsidR="00A77B3E">
            <w:pPr>
              <w:spacing w:before="100" w:after="0"/>
              <w:jc w:val="left"/>
              <w:rPr>
                <w:rFonts w:ascii="Times New Roman" w:eastAsia="Times New Roman" w:hAnsi="Times New Roman" w:cs="Times New Roman"/>
                <w:b w:val="0"/>
                <w:i w:val="0"/>
                <w:vanish w:val="0"/>
                <w:color w:val="000000"/>
                <w:sz w:val="24"/>
                <w:vertAlign w:val="baseline"/>
              </w:rPr>
            </w:pPr>
          </w:p>
          <w:p w:rsidR="00A77B3E">
            <w:pPr>
              <w:spacing w:before="100" w:after="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Raziskovalne organizacije in univerze:</w:t>
            </w:r>
          </w:p>
          <w:p w:rsidR="00A77B3E">
            <w:pPr>
              <w:numPr>
                <w:ilvl w:val="0"/>
                <w:numId w:val="23"/>
              </w:numPr>
              <w:spacing w:before="100" w:after="0"/>
              <w:ind w:left="720" w:hanging="36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Javna agencija za znanstvenoraziskovalno in inovacijsko dejavnost Republike Slovenije (ARIS) – opravlja strokovne, razvojne in izvajalske naloge v zvezi z izvajanjem sprejete Raziskovalno-inovacijske strategije Slovenije in druge naloge spodbujanja raziskovalne dejavnosti.</w:t>
            </w:r>
          </w:p>
          <w:p w:rsidR="00A77B3E">
            <w:pPr>
              <w:numPr>
                <w:ilvl w:val="0"/>
                <w:numId w:val="23"/>
              </w:numPr>
              <w:spacing w:before="100" w:after="0"/>
              <w:ind w:left="720" w:hanging="36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Inštitut za kriminologijo pri Pravni fakulteti.</w:t>
            </w:r>
          </w:p>
          <w:p w:rsidR="00A77B3E">
            <w:pPr>
              <w:numPr>
                <w:ilvl w:val="0"/>
                <w:numId w:val="23"/>
              </w:numPr>
              <w:spacing w:before="100" w:after="0"/>
              <w:ind w:left="720" w:hanging="36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Fakulteta za varnostne vede.</w:t>
            </w:r>
          </w:p>
          <w:p w:rsidR="00A77B3E">
            <w:pPr>
              <w:spacing w:before="100" w:after="0"/>
              <w:jc w:val="left"/>
              <w:rPr>
                <w:rFonts w:ascii="Times New Roman" w:eastAsia="Times New Roman" w:hAnsi="Times New Roman" w:cs="Times New Roman"/>
                <w:b w:val="0"/>
                <w:i w:val="0"/>
                <w:vanish w:val="0"/>
                <w:color w:val="000000"/>
                <w:sz w:val="24"/>
                <w:vertAlign w:val="baseline"/>
              </w:rPr>
            </w:pPr>
          </w:p>
          <w:p w:rsidR="00A77B3E">
            <w:pPr>
              <w:spacing w:before="100" w:after="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Ko so omenjene organizacije prejele Program, so ga razdelile svojim članom. Kasneje smo organizirali javni posvet, kamor so bili povabljeni vsi deležniki in zainteresirana javnost. Na sestanku so bili prisotni predstavniki nekaterih partnerjev, predstavnik Društva Ključ je predstavili svoje pripombe. Poleg navedenega smo prejeli tudi pisne pripombe ZMOS. Drugi partnerji niso imeli pripomb oziroma so potrdili Program.</w:t>
            </w:r>
          </w:p>
          <w:p w:rsidR="00A77B3E">
            <w:pPr>
              <w:spacing w:before="100" w:after="0"/>
              <w:jc w:val="left"/>
              <w:rPr>
                <w:rFonts w:ascii="Times New Roman" w:eastAsia="Times New Roman" w:hAnsi="Times New Roman" w:cs="Times New Roman"/>
                <w:b w:val="0"/>
                <w:i w:val="0"/>
                <w:vanish w:val="0"/>
                <w:color w:val="000000"/>
                <w:sz w:val="24"/>
                <w:vertAlign w:val="baseline"/>
              </w:rPr>
            </w:pPr>
          </w:p>
          <w:p w:rsidR="00A77B3E">
            <w:pPr>
              <w:spacing w:before="100" w:after="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V fazi izvajanja in evalvacije pa bo medresorsko usklajevanje in sodelovanje potekalo tudi v okviru Medresorske delovne skupine za koordinacijo in operativno usklajevanje izvajanja operacij skladov (MDS) kot pripravljalne skupine ter Odbora za spremljanje skladov s področja notranje varnosti in migracij (OSS) kot odločevalskega telesa. MDS bo delovala kot delovno posvetovalna skupina, ki jo bodo sestavljali imenovani posamezniki na ravni državnih organov, ki bodo sodelovali pri implementaciji skladov ter bo namenjena predstavitvi stanja, rezultatov in izzivov nastalih pri tem. Poleg tega bo pristojna za razpravo o zadevah/nalogah, ki jih preverja in potrdi OSS.</w:t>
            </w:r>
          </w:p>
          <w:p w:rsidR="00A77B3E">
            <w:pPr>
              <w:spacing w:before="100" w:after="0"/>
              <w:jc w:val="left"/>
              <w:rPr>
                <w:rFonts w:ascii="Times New Roman" w:eastAsia="Times New Roman" w:hAnsi="Times New Roman" w:cs="Times New Roman"/>
                <w:b w:val="0"/>
                <w:i w:val="0"/>
                <w:vanish w:val="0"/>
                <w:color w:val="000000"/>
                <w:sz w:val="24"/>
                <w:vertAlign w:val="baseline"/>
              </w:rPr>
            </w:pPr>
          </w:p>
          <w:p w:rsidR="00A77B3E">
            <w:pPr>
              <w:spacing w:before="100" w:after="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V OSS bodo k imenovanju predstavnikov pozvani organi na državni ravni in organi iz sistema nadzora in upravljanja ter EK, kot tudi partnerji (regionalni, lokalni, mestni in drugi javni organi; ekonomski in socialni partnerji; telesa, ki predstavljajo civilno družbo, kot so okoljski partnerji, nevladne organizacije in telesa, odgovorna za spodbujanje socialne vključenosti, temeljnih pravic, pravic invalidov, enakosti spolov in nediskriminacije; raziskovalne organizacije in univerze) ter decentralizirane agencije. OSS bo pristojen za preverjanje spodaj navedenega:</w:t>
            </w:r>
          </w:p>
          <w:p w:rsidR="00A77B3E">
            <w:pPr>
              <w:numPr>
                <w:ilvl w:val="0"/>
                <w:numId w:val="24"/>
              </w:numPr>
              <w:spacing w:before="100" w:after="0"/>
              <w:ind w:left="720" w:hanging="36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napredek pri izvajanju Programa, doseganju mejnikov in ciljnih vrednosti,</w:t>
            </w:r>
          </w:p>
          <w:p w:rsidR="00A77B3E">
            <w:pPr>
              <w:numPr>
                <w:ilvl w:val="0"/>
                <w:numId w:val="24"/>
              </w:numPr>
              <w:spacing w:before="100" w:after="0"/>
              <w:ind w:left="720" w:hanging="36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morebitna vprašanja, ki vplivajo na smotrnost Programa, in ukrepe, sprejete za obravnavo teh vprašanj,</w:t>
            </w:r>
          </w:p>
          <w:p w:rsidR="00A77B3E">
            <w:pPr>
              <w:numPr>
                <w:ilvl w:val="0"/>
                <w:numId w:val="24"/>
              </w:numPr>
              <w:spacing w:before="100" w:after="0"/>
              <w:ind w:left="720" w:hanging="36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prispevek Programa k reševanju izzivov, opredeljenih v ustreznih priporočilih za posamezne države, ki so povezana z izvajanjem Programa,</w:t>
            </w:r>
          </w:p>
          <w:p w:rsidR="00A77B3E">
            <w:pPr>
              <w:numPr>
                <w:ilvl w:val="0"/>
                <w:numId w:val="24"/>
              </w:numPr>
              <w:spacing w:before="100" w:after="0"/>
              <w:ind w:left="720" w:hanging="36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elemente predhodne ocene in strateški dokument,</w:t>
            </w:r>
          </w:p>
          <w:p w:rsidR="00A77B3E">
            <w:pPr>
              <w:numPr>
                <w:ilvl w:val="0"/>
                <w:numId w:val="24"/>
              </w:numPr>
              <w:spacing w:before="100" w:after="0"/>
              <w:ind w:left="720" w:hanging="36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napredek, dosežen pri izvajanju vrednotenj, sintez vrednotenj in morebitnega nadaljnjega spremljanja ugotovitev,</w:t>
            </w:r>
          </w:p>
          <w:p w:rsidR="00A77B3E">
            <w:pPr>
              <w:numPr>
                <w:ilvl w:val="0"/>
                <w:numId w:val="24"/>
              </w:numPr>
              <w:spacing w:before="100" w:after="0"/>
              <w:ind w:left="720" w:hanging="36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izvajanje ukrepov v zvezi s komuniciranjem in prepoznavnostjo,</w:t>
            </w:r>
          </w:p>
          <w:p w:rsidR="00A77B3E">
            <w:pPr>
              <w:numPr>
                <w:ilvl w:val="0"/>
                <w:numId w:val="24"/>
              </w:numPr>
              <w:spacing w:before="100" w:after="0"/>
              <w:ind w:left="720" w:hanging="36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napredek pri izvajanju operacij strateškega pomena,</w:t>
            </w:r>
          </w:p>
          <w:p w:rsidR="00A77B3E">
            <w:pPr>
              <w:numPr>
                <w:ilvl w:val="0"/>
                <w:numId w:val="24"/>
              </w:numPr>
              <w:spacing w:before="100" w:after="0"/>
              <w:ind w:left="720" w:hanging="36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izpolnjevanje omogočitvenih pogojev in njihovo uporabo v celotnem programskem obdobju,</w:t>
            </w:r>
          </w:p>
          <w:p w:rsidR="00A77B3E">
            <w:pPr>
              <w:numPr>
                <w:ilvl w:val="0"/>
                <w:numId w:val="24"/>
              </w:numPr>
              <w:spacing w:before="100" w:after="0"/>
              <w:ind w:left="720" w:hanging="36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napredek pri krepitvi upravnih zmogljivosti za javne institucije, partnerje in upravičence,</w:t>
            </w:r>
          </w:p>
          <w:p w:rsidR="00A77B3E">
            <w:pPr>
              <w:numPr>
                <w:ilvl w:val="0"/>
                <w:numId w:val="24"/>
              </w:numPr>
              <w:spacing w:before="100" w:after="0"/>
              <w:ind w:left="720" w:hanging="36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informacije v zvezi z izvajanjem prispevka Programa k programu Invest EU.</w:t>
            </w:r>
          </w:p>
          <w:p w:rsidR="00A77B3E">
            <w:pPr>
              <w:spacing w:before="100" w:after="0"/>
              <w:jc w:val="left"/>
              <w:rPr>
                <w:rFonts w:ascii="Times New Roman" w:eastAsia="Times New Roman" w:hAnsi="Times New Roman" w:cs="Times New Roman"/>
                <w:b w:val="0"/>
                <w:i w:val="0"/>
                <w:vanish w:val="0"/>
                <w:color w:val="000000"/>
                <w:sz w:val="24"/>
                <w:vertAlign w:val="baseline"/>
              </w:rPr>
            </w:pPr>
          </w:p>
          <w:p w:rsidR="00A77B3E">
            <w:pPr>
              <w:spacing w:before="100" w:after="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OSS je pristojen za odobritev metodologije in merila za izbor operacij, letnih poročil o smotrnosti, načrta vrednotenja in njegovih morebitne spremembe ter morebitne predloge OU za spremembo Programa. Poleg tega pa OSS lahko daje priporočila OU. Skladno s tem je pomembna zastopanost vseh raznolikih partnerjev/deležnikov.</w:t>
            </w:r>
          </w:p>
          <w:p w:rsidR="00A77B3E">
            <w:pPr>
              <w:spacing w:before="100" w:after="0"/>
              <w:jc w:val="left"/>
              <w:rPr>
                <w:rFonts w:ascii="Times New Roman" w:eastAsia="Times New Roman" w:hAnsi="Times New Roman" w:cs="Times New Roman"/>
                <w:b w:val="0"/>
                <w:i w:val="0"/>
                <w:vanish w:val="0"/>
                <w:color w:val="000000"/>
                <w:sz w:val="24"/>
                <w:vertAlign w:val="baseline"/>
              </w:rPr>
            </w:pPr>
          </w:p>
          <w:p w:rsidR="00A77B3E">
            <w:pPr>
              <w:spacing w:before="100" w:after="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Proces odločanja in sodelovanja na ravni EU pa se vrši v okviru Odbora AMIF-SNV-IUMV.</w:t>
            </w:r>
          </w:p>
          <w:p w:rsidR="00A77B3E">
            <w:pPr>
              <w:spacing w:before="100" w:after="0"/>
              <w:jc w:val="left"/>
              <w:rPr>
                <w:rFonts w:ascii="Times New Roman" w:eastAsia="Times New Roman" w:hAnsi="Times New Roman" w:cs="Times New Roman"/>
                <w:b w:val="0"/>
                <w:i w:val="0"/>
                <w:vanish w:val="0"/>
                <w:color w:val="000000"/>
                <w:sz w:val="24"/>
                <w:vertAlign w:val="baseline"/>
              </w:rPr>
            </w:pPr>
          </w:p>
          <w:p w:rsidR="00A77B3E">
            <w:pPr>
              <w:spacing w:before="100" w:after="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Komplementarnosti in sinergije (SNV): Med skladi na področju notranjih zadev (AMIF, SNV, IUMV) so zaznane pomembne sinergije na področju upravljanja migracij, vzpostavitve in posodabljanja infrastrukture, vezane na migracije, storitve pri obravnavi oseb ter pri preprečevanju kriminala. Kar se tiče komplementarnosti in razmejitev jih je zaznati predvsem na področju informacijskih sistemov, saj zaradi prepletanja vsebin in interoperabilnosti segajo na področje upravljanja meja, migracij in notranje varnosti. Skladno s tem je potrebna posebna pozornost pri oblikovanju ustrezne razmejitve med skladi. Ker je organ upravljanja za vse HOME sklade eden, so znotraj vzpostavljeni mehanizmi za zagotavljanje učinkovitega spremljanja.</w:t>
            </w:r>
          </w:p>
          <w:p w:rsidR="00A77B3E">
            <w:pPr>
              <w:spacing w:before="100" w:after="0"/>
              <w:jc w:val="left"/>
              <w:rPr>
                <w:rFonts w:ascii="Times New Roman" w:eastAsia="Times New Roman" w:hAnsi="Times New Roman" w:cs="Times New Roman"/>
                <w:b w:val="0"/>
                <w:i w:val="0"/>
                <w:vanish w:val="0"/>
                <w:color w:val="000000"/>
                <w:sz w:val="24"/>
                <w:vertAlign w:val="baseline"/>
              </w:rPr>
            </w:pPr>
          </w:p>
          <w:p w:rsidR="00A77B3E">
            <w:pPr>
              <w:spacing w:before="100" w:after="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OU je vzpostavil sistem za sodelovanja z OU za druge sklade, ki so vključeni v partnerski sporazum. V ta namen bodo vzpostavljeni mehanizmi za zagotavljanje učinkovitega spremljanja (članstvo v medresorskih skupinah ali odborih za spremljanje, sestanki, posveti, medresorski pregled dokumentacije).</w:t>
            </w:r>
          </w:p>
          <w:p w:rsidR="00A77B3E">
            <w:pPr>
              <w:spacing w:before="100" w:after="0"/>
              <w:jc w:val="left"/>
              <w:rPr>
                <w:rFonts w:ascii="Times New Roman" w:eastAsia="Times New Roman" w:hAnsi="Times New Roman" w:cs="Times New Roman"/>
                <w:b w:val="0"/>
                <w:i w:val="0"/>
                <w:vanish w:val="0"/>
                <w:color w:val="000000"/>
                <w:sz w:val="24"/>
                <w:vertAlign w:val="baseline"/>
              </w:rPr>
            </w:pPr>
          </w:p>
          <w:p w:rsidR="00A77B3E">
            <w:pPr>
              <w:spacing w:before="100" w:after="0"/>
              <w:jc w:val="left"/>
              <w:rPr>
                <w:rFonts w:ascii="Times New Roman" w:eastAsia="Times New Roman" w:hAnsi="Times New Roman" w:cs="Times New Roman"/>
                <w:b w:val="0"/>
                <w:i w:val="0"/>
                <w:vanish w:val="0"/>
                <w:color w:val="000000"/>
                <w:sz w:val="24"/>
                <w:vertAlign w:val="baseline"/>
              </w:rPr>
            </w:pPr>
          </w:p>
          <w:p w:rsidR="00A77B3E">
            <w:pPr>
              <w:spacing w:before="100" w:after="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Za dopolnjevanje in doseganje sinergij z drugimi instrumenti Unije, ki niso zajeti v Partnerskem sporazumu, ima OU za HOME sklade tudi vzpostavljeno sodelovanje. Za zagotavljanje učinkovitega spremljanja bodo organizirani sestanki, posveti, medresorski pregled dokumentacije in izbranih operacij, sodelovanje na OSS in MDS, redna poročanja o odobrenih operacijah ter drugi vzpostavljeni mehanizmi.</w:t>
            </w:r>
          </w:p>
          <w:p w:rsidR="00A77B3E">
            <w:pPr>
              <w:spacing w:before="100" w:after="0"/>
              <w:jc w:val="left"/>
              <w:rPr>
                <w:rFonts w:ascii="Times New Roman" w:eastAsia="Times New Roman" w:hAnsi="Times New Roman" w:cs="Times New Roman"/>
                <w:b w:val="0"/>
                <w:i w:val="0"/>
                <w:vanish w:val="0"/>
                <w:color w:val="000000"/>
                <w:sz w:val="24"/>
                <w:vertAlign w:val="baseline"/>
              </w:rPr>
            </w:pPr>
          </w:p>
          <w:p w:rsidR="00A77B3E">
            <w:pPr>
              <w:spacing w:before="100" w:after="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Zelo pomembne so razmejitve, komplementarnosti in sinergije med SNV in centraliziranimi javnimi razpisi na ravni EU ter RRF. Prvi vezano na aktivnosti organov pregona, drugi (RRF) na področju dejavnosti povezanih s trajnostno in zeleno tranzicijo ter digitalno Slovenijo. Ker je enota, ki je zadolžena za finančno poročanje takih operacij v okviru MNZJU Policije znotraj iste službe kot UO (samo druga enota), je vzpostavljena redna izmenjava informacij (že v fazi načrtovanja in tudi izvajanja operacij).</w:t>
            </w:r>
          </w:p>
          <w:p w:rsidR="00A77B3E">
            <w:pPr>
              <w:spacing w:before="100" w:after="0"/>
              <w:jc w:val="left"/>
              <w:rPr>
                <w:rFonts w:ascii="Times New Roman" w:eastAsia="Times New Roman" w:hAnsi="Times New Roman" w:cs="Times New Roman"/>
                <w:b w:val="0"/>
                <w:i w:val="0"/>
                <w:vanish w:val="0"/>
                <w:color w:val="000000"/>
                <w:sz w:val="24"/>
                <w:vertAlign w:val="baseline"/>
              </w:rPr>
            </w:pPr>
          </w:p>
          <w:p w:rsidR="00A77B3E">
            <w:pPr>
              <w:spacing w:before="100" w:after="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V okviru RRF trajnostnega in zelenega prehoda bodo morebitne naložbe v opremo in energetsko sanacijo stavb pripomogle k doseganju skupnega cilja posodobitve potrebne infrastrukture. Naložbe, povezane z digitalizacijo, so usmerjene predvsem v prenovo informacijskih sistemov in nakup opreme, kar je izjemnega pomena, saj je to osnova za optimalno delovanje policije. Je tudi osnova za druge naložbe v digitalizacijo, ki bodo financirana iz SNV (PNR, informacijska strojna, programska oprema in komunikacijsko omrežje policije, potrebno za delovanje in uporabo centralnih EU informacijskih sistemov) in IUMV (interoperabilnost, veliki sistemi, ETIAS, itd.). Glede na to, da so naložbe v sistem IT možne tudi v okviru SNV in IUMV, bo potrebno posebno spremljanje, da bi se izognili prekrivanju.</w:t>
            </w:r>
          </w:p>
          <w:p w:rsidR="00A77B3E">
            <w:pPr>
              <w:spacing w:before="100" w:after="0"/>
              <w:jc w:val="left"/>
              <w:rPr>
                <w:rFonts w:ascii="Times New Roman" w:eastAsia="Times New Roman" w:hAnsi="Times New Roman" w:cs="Times New Roman"/>
                <w:b w:val="0"/>
                <w:i w:val="0"/>
                <w:vanish w:val="0"/>
                <w:color w:val="000000"/>
                <w:sz w:val="24"/>
                <w:vertAlign w:val="baseline"/>
              </w:rPr>
            </w:pPr>
          </w:p>
          <w:p w:rsidR="00A77B3E">
            <w:pPr>
              <w:spacing w:before="100" w:after="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Prepoznana so naslednja dopolnjevanja in sinergije med:</w:t>
            </w:r>
          </w:p>
          <w:p w:rsidR="00A77B3E">
            <w:pPr>
              <w:numPr>
                <w:ilvl w:val="0"/>
                <w:numId w:val="25"/>
              </w:numPr>
              <w:spacing w:before="100" w:after="0"/>
              <w:ind w:left="720" w:hanging="36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SNV ter AMIF in IUMV na področju zunanje razsežnosti migracijske in varnostne politike EU prek zunanjih instrumentov, kot sta Instrument za sosedstvo, razvoj in mednarodno sodelovanje (NDICI) in Instrument za predpristopno pomoč (IPA);</w:t>
            </w:r>
          </w:p>
          <w:p w:rsidR="00A77B3E">
            <w:pPr>
              <w:numPr>
                <w:ilvl w:val="0"/>
                <w:numId w:val="25"/>
              </w:numPr>
              <w:spacing w:before="100" w:after="0"/>
              <w:ind w:left="720" w:hanging="36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SNV in Digitalna Europe;</w:t>
            </w:r>
          </w:p>
          <w:p w:rsidR="00A77B3E">
            <w:pPr>
              <w:numPr>
                <w:ilvl w:val="0"/>
                <w:numId w:val="25"/>
              </w:numPr>
              <w:spacing w:before="100" w:after="0"/>
              <w:ind w:left="720" w:hanging="36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SNV in Horizon Europe 2020 (Obzorje Evropa 2020) – preko prijav na javne razpise (MNZJU Policija). Gre za sodelovanje v konzorcijih in projektih za izkoriščanje sodobne tehnologije in inovacij EU iz projektov za varnostne inovacije, ki jih financira EU;</w:t>
            </w:r>
          </w:p>
          <w:p w:rsidR="00A77B3E">
            <w:pPr>
              <w:numPr>
                <w:ilvl w:val="0"/>
                <w:numId w:val="25"/>
              </w:numPr>
              <w:spacing w:before="100" w:after="0"/>
              <w:ind w:left="720" w:hanging="36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SNV in OLAF HERCULE IV ter PERICLES IV;</w:t>
            </w:r>
          </w:p>
          <w:p w:rsidR="00A77B3E">
            <w:pPr>
              <w:numPr>
                <w:ilvl w:val="0"/>
                <w:numId w:val="25"/>
              </w:numPr>
              <w:spacing w:before="100" w:after="0"/>
              <w:ind w:left="720" w:hanging="36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SNV in EEA ter Norveškim finančnim mehanizmom;</w:t>
            </w:r>
          </w:p>
          <w:p w:rsidR="00A77B3E">
            <w:pPr>
              <w:numPr>
                <w:ilvl w:val="0"/>
                <w:numId w:val="25"/>
              </w:numPr>
              <w:spacing w:before="100" w:after="0"/>
              <w:ind w:left="720" w:hanging="36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SNV in Mehanizmom za okrevanje in odpornost (RRF);</w:t>
            </w:r>
          </w:p>
          <w:p w:rsidR="00A77B3E">
            <w:pPr>
              <w:numPr>
                <w:ilvl w:val="0"/>
                <w:numId w:val="25"/>
              </w:numPr>
              <w:spacing w:before="100" w:after="0"/>
              <w:ind w:left="720" w:hanging="36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ISF CERV in JUST programi (DG JUST).</w:t>
            </w:r>
          </w:p>
          <w:p w:rsidR="00A77B3E">
            <w:pPr>
              <w:spacing w:before="100" w:after="0"/>
              <w:jc w:val="left"/>
              <w:rPr>
                <w:rFonts w:ascii="Times New Roman" w:eastAsia="Times New Roman" w:hAnsi="Times New Roman" w:cs="Times New Roman"/>
                <w:b w:val="0"/>
                <w:i w:val="0"/>
                <w:vanish w:val="0"/>
                <w:color w:val="000000"/>
                <w:sz w:val="6"/>
                <w:vertAlign w:val="baseline"/>
              </w:rPr>
            </w:pPr>
          </w:p>
          <w:p w:rsidR="00A77B3E">
            <w:pPr>
              <w:spacing w:before="100" w:after="0"/>
              <w:jc w:val="left"/>
              <w:rPr>
                <w:rFonts w:ascii="Times New Roman" w:eastAsia="Times New Roman" w:hAnsi="Times New Roman" w:cs="Times New Roman"/>
                <w:b w:val="0"/>
                <w:i w:val="0"/>
                <w:vanish w:val="0"/>
                <w:color w:val="000000"/>
                <w:sz w:val="6"/>
                <w:vertAlign w:val="baseline"/>
              </w:rPr>
            </w:pPr>
          </w:p>
        </w:tc>
      </w:tr>
    </w:tbl>
    <w:p w:rsidR="00A77B3E">
      <w:pPr>
        <w:pStyle w:val="Heading1"/>
        <w:spacing w:before="100" w:after="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br w:type="page"/>
      </w:r>
      <w:bookmarkStart w:id="38" w:name="_Toc256000093"/>
      <w:r>
        <w:rPr>
          <w:rFonts w:ascii="Times New Roman" w:eastAsia="Times New Roman" w:hAnsi="Times New Roman" w:cs="Times New Roman"/>
          <w:b w:val="0"/>
          <w:i w:val="0"/>
          <w:vanish w:val="0"/>
          <w:color w:val="000000"/>
          <w:sz w:val="24"/>
          <w:vertAlign w:val="baseline"/>
        </w:rPr>
        <w:t>7. Komuniciranje in prepoznavnost</w:t>
      </w:r>
      <w:bookmarkEnd w:id="38"/>
    </w:p>
    <w:p w:rsidR="00A77B3E">
      <w:pPr>
        <w:spacing w:before="100" w:after="0"/>
        <w:jc w:val="left"/>
        <w:rPr>
          <w:rFonts w:ascii="Times New Roman" w:eastAsia="Times New Roman" w:hAnsi="Times New Roman" w:cs="Times New Roman"/>
          <w:b w:val="0"/>
          <w:i w:val="0"/>
          <w:vanish w:val="0"/>
          <w:color w:val="000000"/>
          <w:sz w:val="16"/>
          <w:vertAlign w:val="baseline"/>
        </w:rPr>
      </w:pPr>
      <w:r>
        <w:rPr>
          <w:rFonts w:ascii="Times New Roman" w:eastAsia="Times New Roman" w:hAnsi="Times New Roman" w:cs="Times New Roman"/>
          <w:b w:val="0"/>
          <w:i w:val="0"/>
          <w:vanish w:val="0"/>
          <w:color w:val="000000"/>
          <w:sz w:val="24"/>
          <w:vertAlign w:val="baseline"/>
        </w:rPr>
        <w:t>Sklic: člen 22(3)(j) uredbe o skupnih določbah</w:t>
      </w:r>
    </w:p>
    <w:p w:rsidR="00A77B3E">
      <w:pPr>
        <w:spacing w:before="100" w:after="0"/>
        <w:jc w:val="left"/>
        <w:rPr>
          <w:rFonts w:ascii="Times New Roman" w:eastAsia="Times New Roman" w:hAnsi="Times New Roman" w:cs="Times New Roman"/>
          <w:b w:val="0"/>
          <w:i w:val="0"/>
          <w:vanish w:val="0"/>
          <w:color w:val="000000"/>
          <w:sz w:val="12"/>
          <w:vertAlign w:val="baselin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Pr>
      <w:tblGrid>
        <w:gridCol w:w="10240"/>
      </w:tblGrid>
      <w:tr>
        <w:tblPrEx>
          <w:tblW w:w="5000" w:type="pct"/>
          <w:tblLayout w:type="fixed"/>
        </w:tblPrEx>
        <w:trPr>
          <w:cantSplit w:val="0"/>
          <w:trHeight w:val="160"/>
          <w:tblHeader w:val="0"/>
        </w:trPr>
        <w:tc>
          <w:tcPr>
            <w:tcW w:w="50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0"/>
                <w:vertAlign w:val="baseline"/>
              </w:rPr>
            </w:pPr>
          </w:p>
          <w:p w:rsidR="00A77B3E">
            <w:pPr>
              <w:spacing w:before="100" w:after="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OU prevzema vlogo koordinatorja s področja komuniciranja na ravni države članice za AMIF, SNV in IUMV. Glavni namen komuniciranja na področju skladov notranje varnosti je promocija aktivnosti in dosežkov skladov ter informiranje različnih javnosti za povečanje njihove aktivne vključenosti, kar bi prispevalo k učinkovitemu izvajanju politike s področja notranje varnosti in migracij.</w:t>
            </w:r>
          </w:p>
          <w:p w:rsidR="00A77B3E">
            <w:pPr>
              <w:spacing w:before="100" w:after="0"/>
              <w:jc w:val="left"/>
              <w:rPr>
                <w:rFonts w:ascii="Times New Roman" w:eastAsia="Times New Roman" w:hAnsi="Times New Roman" w:cs="Times New Roman"/>
                <w:b w:val="0"/>
                <w:i w:val="0"/>
                <w:vanish w:val="0"/>
                <w:color w:val="000000"/>
                <w:sz w:val="24"/>
                <w:vertAlign w:val="baseline"/>
              </w:rPr>
            </w:pPr>
          </w:p>
          <w:p w:rsidR="00A77B3E">
            <w:pPr>
              <w:spacing w:before="100" w:after="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Glavne ciljne skupine (deležniki) so:</w:t>
            </w:r>
          </w:p>
          <w:p w:rsidR="00A77B3E">
            <w:pPr>
              <w:numPr>
                <w:ilvl w:val="0"/>
                <w:numId w:val="26"/>
              </w:numPr>
              <w:spacing w:before="100" w:after="0"/>
              <w:ind w:left="720" w:hanging="36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potencialni upravičenci,</w:t>
            </w:r>
          </w:p>
          <w:p w:rsidR="00A77B3E">
            <w:pPr>
              <w:numPr>
                <w:ilvl w:val="0"/>
                <w:numId w:val="26"/>
              </w:numPr>
              <w:spacing w:before="100" w:after="0"/>
              <w:ind w:left="720" w:hanging="36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upravičenci z zakonskimi pristojnostni s področja,</w:t>
            </w:r>
          </w:p>
          <w:p w:rsidR="00A77B3E">
            <w:pPr>
              <w:numPr>
                <w:ilvl w:val="0"/>
                <w:numId w:val="26"/>
              </w:numPr>
              <w:spacing w:before="100" w:after="0"/>
              <w:ind w:left="720" w:hanging="36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upravičenci, ki izvajajo operacije preko javnih razpisov (nevladne organizacije),</w:t>
            </w:r>
          </w:p>
          <w:p w:rsidR="00A77B3E">
            <w:pPr>
              <w:numPr>
                <w:ilvl w:val="0"/>
                <w:numId w:val="26"/>
              </w:numPr>
              <w:spacing w:before="100" w:after="0"/>
              <w:ind w:left="720" w:hanging="36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ekonomsko-socialni partnerji,</w:t>
            </w:r>
          </w:p>
          <w:p w:rsidR="00A77B3E">
            <w:pPr>
              <w:numPr>
                <w:ilvl w:val="0"/>
                <w:numId w:val="26"/>
              </w:numPr>
              <w:spacing w:before="100" w:after="0"/>
              <w:ind w:left="720" w:hanging="36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splošna javnost.</w:t>
            </w:r>
          </w:p>
          <w:p w:rsidR="00A77B3E">
            <w:pPr>
              <w:spacing w:before="100" w:after="0"/>
              <w:jc w:val="left"/>
              <w:rPr>
                <w:rFonts w:ascii="Times New Roman" w:eastAsia="Times New Roman" w:hAnsi="Times New Roman" w:cs="Times New Roman"/>
                <w:b w:val="0"/>
                <w:i w:val="0"/>
                <w:vanish w:val="0"/>
                <w:color w:val="000000"/>
                <w:sz w:val="24"/>
                <w:vertAlign w:val="baseline"/>
              </w:rPr>
            </w:pPr>
          </w:p>
          <w:p w:rsidR="00A77B3E">
            <w:pPr>
              <w:spacing w:before="100" w:after="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Glavni komunikacijski cilji so informiranje in osveščanje o:</w:t>
            </w:r>
          </w:p>
          <w:p w:rsidR="00A77B3E">
            <w:pPr>
              <w:numPr>
                <w:ilvl w:val="0"/>
                <w:numId w:val="27"/>
              </w:numPr>
              <w:spacing w:before="100" w:after="0"/>
              <w:ind w:left="720" w:hanging="36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možnostih koriščenja in dodeljenih sredstvih skladov,</w:t>
            </w:r>
          </w:p>
          <w:p w:rsidR="00A77B3E">
            <w:pPr>
              <w:numPr>
                <w:ilvl w:val="0"/>
                <w:numId w:val="27"/>
              </w:numPr>
              <w:spacing w:before="100" w:after="0"/>
              <w:ind w:left="720" w:hanging="36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informacijah o skladih,</w:t>
            </w:r>
          </w:p>
          <w:p w:rsidR="00A77B3E">
            <w:pPr>
              <w:numPr>
                <w:ilvl w:val="0"/>
                <w:numId w:val="27"/>
              </w:numPr>
              <w:spacing w:before="100" w:after="0"/>
              <w:ind w:left="720" w:hanging="36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dosežkih, učinkih in rezultatih operacij.</w:t>
            </w:r>
          </w:p>
          <w:p w:rsidR="00A77B3E">
            <w:pPr>
              <w:spacing w:before="100" w:after="0"/>
              <w:jc w:val="left"/>
              <w:rPr>
                <w:rFonts w:ascii="Times New Roman" w:eastAsia="Times New Roman" w:hAnsi="Times New Roman" w:cs="Times New Roman"/>
                <w:b w:val="0"/>
                <w:i w:val="0"/>
                <w:vanish w:val="0"/>
                <w:color w:val="000000"/>
                <w:sz w:val="24"/>
                <w:vertAlign w:val="baseline"/>
              </w:rPr>
            </w:pPr>
          </w:p>
          <w:p w:rsidR="00A77B3E">
            <w:pPr>
              <w:spacing w:before="100" w:after="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V prvem delu programskega obdobja bo namen komuniciranja seznanjanje javnosti z novostmi v izvajanju skladov s področja notranje varnosti in migracij v programskem obdobju 2021–2027 in samim sistemom izvajanja, informiranje različnih ciljnih skupin o možnostih sofinanciranja in spodbujanje vključevanja (potencialnih) upravičencev ter drugih deležnikov za čim bolj učinkovito črpanje evropskih sredstev. V drugem delu bo večji poudarek na dvigu prepoznavanja in oblikovanju pozitivne podobe evropske politike s področja notranje varnosti in migracij v očeh splošne javnosti, predvsem preko širjenja dobrih praks in rezultatov, pri čemer bodo glavni ambasadorji uspešne operacije in njihove zgodbe.</w:t>
            </w:r>
          </w:p>
          <w:p w:rsidR="00A77B3E">
            <w:pPr>
              <w:spacing w:before="100" w:after="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Zgoraj opisane aktivnosti se bodo izvajale skladno z nacionalno komunikacijsko strategijo Slovenije ter letnimi komunikacijskimi načrti OU, kjer bodo opisane podrobne aktivnosti in bodo usklajeni z nacionalnim koordinatorjem za komuniciranje. Novost je enoten spletni portal www.evropskasredstva.si, na katerem bodo predstavljene relevantne informacije o izvajanju evropske politike v obdobju 2021-2027 v Sloveniji.</w:t>
            </w:r>
          </w:p>
          <w:p w:rsidR="00A77B3E">
            <w:pPr>
              <w:spacing w:before="100" w:after="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Glede na različne ciljne skupine bodo komunikacijske aktivnosti ciljno usmerjene. Načrtovana komunikacijska orodja in kanali za izvajanje dejavnosti prepoznavnosti, preglednosti in komuniciranja politike na področju notranjih zadev v obdobju 2021-2027 so:</w:t>
            </w:r>
          </w:p>
          <w:p w:rsidR="00A77B3E">
            <w:pPr>
              <w:spacing w:before="100" w:after="0"/>
              <w:jc w:val="left"/>
              <w:rPr>
                <w:rFonts w:ascii="Times New Roman" w:eastAsia="Times New Roman" w:hAnsi="Times New Roman" w:cs="Times New Roman"/>
                <w:b w:val="0"/>
                <w:i w:val="0"/>
                <w:vanish w:val="0"/>
                <w:color w:val="000000"/>
                <w:sz w:val="24"/>
                <w:vertAlign w:val="baseline"/>
              </w:rPr>
            </w:pPr>
          </w:p>
          <w:p w:rsidR="00A77B3E">
            <w:pPr>
              <w:spacing w:before="100" w:after="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 SPLETNE STRANI (programski dokumenti, predstavitvena gradiva, avdio-vizualne produkcije, sporočila za javnost, druge promocijske in informativne objave)</w:t>
            </w:r>
          </w:p>
          <w:p w:rsidR="00A77B3E">
            <w:pPr>
              <w:spacing w:before="100" w:after="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a. Kazalniki učinka (KU): št. obiskov, št. obiskovalcev, ki jih identificirajo brskalniki, št. ogledov strani,</w:t>
            </w:r>
          </w:p>
          <w:p w:rsidR="00A77B3E">
            <w:pPr>
              <w:spacing w:before="100" w:after="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b. Kazalniki rezultata (KR): stopnja konverzije: prenosi, registracije, izpolnjeni obrazci, stopnja obiskov, dolžina seje itd., splošna uporabnost spletnega mesta in/ali strani, št. ponovnih obiskovalcev,</w:t>
            </w:r>
          </w:p>
          <w:p w:rsidR="00A77B3E">
            <w:pPr>
              <w:spacing w:before="100" w:after="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c. Kazalniki vpliva (KV): št. obiskovalcev, ki imajo bolj pozitivno mnenje o EU, kot rezultat spletnega obiska, verjetnost zagovarjanja ali pozitivnega govora o EU, kot rezultat spletnega obiska.</w:t>
            </w:r>
          </w:p>
          <w:p w:rsidR="00A77B3E">
            <w:pPr>
              <w:spacing w:before="100" w:after="0"/>
              <w:jc w:val="left"/>
              <w:rPr>
                <w:rFonts w:ascii="Times New Roman" w:eastAsia="Times New Roman" w:hAnsi="Times New Roman" w:cs="Times New Roman"/>
                <w:b w:val="0"/>
                <w:i w:val="0"/>
                <w:vanish w:val="0"/>
                <w:color w:val="000000"/>
                <w:sz w:val="24"/>
                <w:vertAlign w:val="baseline"/>
              </w:rPr>
            </w:pPr>
          </w:p>
          <w:p w:rsidR="00A77B3E">
            <w:pPr>
              <w:spacing w:before="100" w:after="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 SOCIALNA OMREŽJA - Facebook, Twitter, Instagram (sporočila za javnost, avdio-vizualne produkcije, druge promocijske in informativne objave)</w:t>
            </w:r>
          </w:p>
          <w:p w:rsidR="00A77B3E">
            <w:pPr>
              <w:spacing w:before="100" w:after="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a. KU: št. prikazov, št. sledilcev/oboževalcev/naročnikov,</w:t>
            </w:r>
          </w:p>
          <w:p w:rsidR="00A77B3E">
            <w:pPr>
              <w:spacing w:before="100" w:after="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b. KR: št. angažiranosti: delitve, všečki, 'kliki' ali komentarji, št. omemb,</w:t>
            </w:r>
          </w:p>
          <w:p w:rsidR="00A77B3E">
            <w:pPr>
              <w:spacing w:before="100" w:after="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c. KV: odstotek oseb, ki imajo zaradi sodelovanja v vsebini socialnih omrežij bolj pozitivno mnenje o EU.</w:t>
            </w:r>
          </w:p>
          <w:p w:rsidR="00A77B3E">
            <w:pPr>
              <w:spacing w:before="100" w:after="0"/>
              <w:jc w:val="left"/>
              <w:rPr>
                <w:rFonts w:ascii="Times New Roman" w:eastAsia="Times New Roman" w:hAnsi="Times New Roman" w:cs="Times New Roman"/>
                <w:b w:val="0"/>
                <w:i w:val="0"/>
                <w:vanish w:val="0"/>
                <w:color w:val="000000"/>
                <w:sz w:val="24"/>
                <w:vertAlign w:val="baseline"/>
              </w:rPr>
            </w:pPr>
          </w:p>
          <w:p w:rsidR="00A77B3E">
            <w:pPr>
              <w:spacing w:before="100" w:after="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 VIDEOPOSNETKI IN FOTOGRAFIJE (spletna stran, socialna omrežja)</w:t>
            </w:r>
          </w:p>
          <w:p w:rsidR="00A77B3E">
            <w:pPr>
              <w:spacing w:before="100" w:after="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a. KU: št. ogledov, št. edinstvenih obiskovalcev strani videoposnetka, odstotek videoposnetkov z dokončanim ogledom 50 % ali več in 100 %,</w:t>
            </w:r>
          </w:p>
          <w:p w:rsidR="00A77B3E">
            <w:pPr>
              <w:spacing w:before="100" w:after="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b. KR: splošna uporabnost videoposnetka za gledalca, št. deljenj ali prenosov,</w:t>
            </w:r>
          </w:p>
          <w:p w:rsidR="00A77B3E">
            <w:pPr>
              <w:spacing w:before="100" w:after="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c. KV: št. gledalcev, ki imajo zaradi posnetka bolj pozitivno mnenje o EU, verjetnost, da bodo zagovarjali EU ali govorili pozitivno o EU, kot rezultat videoposnetka.</w:t>
            </w:r>
          </w:p>
          <w:p w:rsidR="00A77B3E">
            <w:pPr>
              <w:spacing w:before="100" w:after="0"/>
              <w:jc w:val="left"/>
              <w:rPr>
                <w:rFonts w:ascii="Times New Roman" w:eastAsia="Times New Roman" w:hAnsi="Times New Roman" w:cs="Times New Roman"/>
                <w:b w:val="0"/>
                <w:i w:val="0"/>
                <w:vanish w:val="0"/>
                <w:color w:val="000000"/>
                <w:sz w:val="24"/>
                <w:vertAlign w:val="baseline"/>
              </w:rPr>
            </w:pPr>
          </w:p>
          <w:p w:rsidR="00A77B3E">
            <w:pPr>
              <w:spacing w:before="100" w:after="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 DOGODKI (informativni, izobraževalni in drugi dogodki)</w:t>
            </w:r>
          </w:p>
          <w:p w:rsidR="00A77B3E">
            <w:pPr>
              <w:spacing w:before="100" w:after="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a. KU: št. udeležencev, odstotek udeležencev, ki prvič obiščejo dogodek,</w:t>
            </w:r>
          </w:p>
          <w:p w:rsidR="00A77B3E">
            <w:pPr>
              <w:spacing w:before="100" w:after="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b. KR: splošna uporabnost dogodka, odstotek udeležencev, ki so izjavili, da bodo delili ali pozitivno govorili o dogodku,</w:t>
            </w:r>
          </w:p>
          <w:p w:rsidR="00A77B3E">
            <w:pPr>
              <w:spacing w:before="100" w:after="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c. KV: odstotek udeležencev, ki imajo zaradi dogodka bolj pozitivno mnenje o EU.</w:t>
            </w:r>
          </w:p>
          <w:p w:rsidR="00A77B3E">
            <w:pPr>
              <w:spacing w:before="100" w:after="0"/>
              <w:jc w:val="left"/>
              <w:rPr>
                <w:rFonts w:ascii="Times New Roman" w:eastAsia="Times New Roman" w:hAnsi="Times New Roman" w:cs="Times New Roman"/>
                <w:b w:val="0"/>
                <w:i w:val="0"/>
                <w:vanish w:val="0"/>
                <w:color w:val="000000"/>
                <w:sz w:val="24"/>
                <w:vertAlign w:val="baseline"/>
              </w:rPr>
            </w:pPr>
          </w:p>
          <w:p w:rsidR="00A77B3E">
            <w:pPr>
              <w:spacing w:before="100" w:after="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 PUBLIKACIJE (programski dokumenti, drugi promocijski in informativni materiali)</w:t>
            </w:r>
          </w:p>
          <w:p w:rsidR="00A77B3E">
            <w:pPr>
              <w:spacing w:before="100" w:after="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a. KU: št. bralcev/poslušalcev/prenosov publikacije,</w:t>
            </w:r>
          </w:p>
          <w:p w:rsidR="00A77B3E">
            <w:pPr>
              <w:spacing w:before="100" w:after="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b. KR: splošna uporabnost publikacije za bralca,</w:t>
            </w:r>
          </w:p>
          <w:p w:rsidR="00A77B3E">
            <w:pPr>
              <w:spacing w:before="100" w:after="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c. KV: št. bralcev, ki imajo zaradi objave bolj pozitivno mnenje o politiki/organizaciji.</w:t>
            </w:r>
          </w:p>
          <w:p w:rsidR="00A77B3E">
            <w:pPr>
              <w:spacing w:before="100" w:after="0"/>
              <w:jc w:val="left"/>
              <w:rPr>
                <w:rFonts w:ascii="Times New Roman" w:eastAsia="Times New Roman" w:hAnsi="Times New Roman" w:cs="Times New Roman"/>
                <w:b w:val="0"/>
                <w:i w:val="0"/>
                <w:vanish w:val="0"/>
                <w:color w:val="000000"/>
                <w:sz w:val="24"/>
                <w:vertAlign w:val="baseline"/>
              </w:rPr>
            </w:pPr>
          </w:p>
          <w:p w:rsidR="00A77B3E">
            <w:pPr>
              <w:spacing w:before="100" w:after="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OU bo pri izvajanju aktivnosti vzpostavil kontinuirano in aktivno sodelovanje s partnerji, npr. z Evropsko komisijo (DG HOME) in Evropskim Parlamentom, nacionalnim koordinatorjem za komuniciranje (INFORM-SI), Uradom Vlade RS za komuniciranje in drugimi organi upravljanja programov, ki jih sofinancira EU. Imenovan je komunikator.</w:t>
            </w:r>
          </w:p>
          <w:p w:rsidR="00A77B3E">
            <w:pPr>
              <w:spacing w:before="100" w:after="0"/>
              <w:jc w:val="left"/>
              <w:rPr>
                <w:rFonts w:ascii="Times New Roman" w:eastAsia="Times New Roman" w:hAnsi="Times New Roman" w:cs="Times New Roman"/>
                <w:b w:val="0"/>
                <w:i w:val="0"/>
                <w:vanish w:val="0"/>
                <w:color w:val="000000"/>
                <w:sz w:val="24"/>
                <w:vertAlign w:val="baseline"/>
              </w:rPr>
            </w:pPr>
          </w:p>
          <w:p w:rsidR="00A77B3E">
            <w:pPr>
              <w:spacing w:before="100" w:after="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Finančna sredstva za izvajanje aktivnosti komuniciranja bodo zagotovljena v višini 5% sredstev tehnične pomoči in bodo namenjena:</w:t>
            </w:r>
          </w:p>
          <w:p w:rsidR="00A77B3E">
            <w:pPr>
              <w:numPr>
                <w:ilvl w:val="0"/>
                <w:numId w:val="28"/>
              </w:numPr>
              <w:spacing w:before="100" w:after="0"/>
              <w:ind w:left="720" w:hanging="36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produkcijskim, oglaševalskim in drugim digitalnim aktivnostim (40%),</w:t>
            </w:r>
          </w:p>
          <w:p w:rsidR="00A77B3E">
            <w:pPr>
              <w:numPr>
                <w:ilvl w:val="0"/>
                <w:numId w:val="28"/>
              </w:numPr>
              <w:spacing w:before="100" w:after="0"/>
              <w:ind w:left="720" w:hanging="36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publikacijam in promocijskim izdelkom (25%),</w:t>
            </w:r>
          </w:p>
          <w:p w:rsidR="00A77B3E">
            <w:pPr>
              <w:numPr>
                <w:ilvl w:val="0"/>
                <w:numId w:val="28"/>
              </w:numPr>
              <w:spacing w:before="100" w:after="0"/>
              <w:ind w:left="720" w:hanging="36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organizaciji dogodkov in z njimi povezanih komunikacijskih aktivnosti (15%) in</w:t>
            </w:r>
          </w:p>
          <w:p w:rsidR="00A77B3E">
            <w:pPr>
              <w:numPr>
                <w:ilvl w:val="0"/>
                <w:numId w:val="28"/>
              </w:numPr>
              <w:spacing w:before="100" w:after="0"/>
              <w:ind w:left="720" w:hanging="36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drugim potrebnih podpornim aktivnostim (npr. stroški dela komunikatorjev) (20%).</w:t>
            </w:r>
          </w:p>
          <w:p w:rsidR="00A77B3E">
            <w:pPr>
              <w:spacing w:before="100" w:after="0"/>
              <w:jc w:val="left"/>
              <w:rPr>
                <w:rFonts w:ascii="Times New Roman" w:eastAsia="Times New Roman" w:hAnsi="Times New Roman" w:cs="Times New Roman"/>
                <w:b w:val="0"/>
                <w:i w:val="0"/>
                <w:vanish w:val="0"/>
                <w:color w:val="000000"/>
                <w:sz w:val="6"/>
                <w:vertAlign w:val="baseline"/>
              </w:rPr>
            </w:pPr>
          </w:p>
          <w:p w:rsidR="00A77B3E">
            <w:pPr>
              <w:spacing w:before="100" w:after="0"/>
              <w:jc w:val="left"/>
              <w:rPr>
                <w:rFonts w:ascii="Times New Roman" w:eastAsia="Times New Roman" w:hAnsi="Times New Roman" w:cs="Times New Roman"/>
                <w:b w:val="0"/>
                <w:i w:val="0"/>
                <w:vanish w:val="0"/>
                <w:color w:val="000000"/>
                <w:sz w:val="6"/>
                <w:vertAlign w:val="baseline"/>
              </w:rPr>
            </w:pPr>
          </w:p>
        </w:tc>
      </w:tr>
    </w:tbl>
    <w:p w:rsidR="00A77B3E">
      <w:pPr>
        <w:pStyle w:val="Heading1"/>
        <w:spacing w:before="100" w:after="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br w:type="page"/>
      </w:r>
      <w:bookmarkStart w:id="39" w:name="_Toc256000094"/>
      <w:r>
        <w:rPr>
          <w:rFonts w:ascii="Times New Roman" w:eastAsia="Times New Roman" w:hAnsi="Times New Roman" w:cs="Times New Roman"/>
          <w:b w:val="0"/>
          <w:i w:val="0"/>
          <w:vanish w:val="0"/>
          <w:color w:val="000000"/>
          <w:sz w:val="24"/>
          <w:vertAlign w:val="baseline"/>
        </w:rPr>
        <w:t>8. Uporaba stroškov na enoto, pavšalnih zneskov, pavšalnih stopenj in financiranja, ki ni povezano s stroški</w:t>
      </w:r>
      <w:bookmarkEnd w:id="39"/>
    </w:p>
    <w:p w:rsidR="00A77B3E">
      <w:pPr>
        <w:spacing w:before="100" w:after="0"/>
        <w:jc w:val="left"/>
        <w:rPr>
          <w:rFonts w:ascii="Times New Roman" w:eastAsia="Times New Roman" w:hAnsi="Times New Roman" w:cs="Times New Roman"/>
          <w:b w:val="0"/>
          <w:i w:val="0"/>
          <w:vanish w:val="0"/>
          <w:color w:val="000000"/>
          <w:sz w:val="16"/>
          <w:vertAlign w:val="baseline"/>
        </w:rPr>
      </w:pPr>
      <w:r>
        <w:rPr>
          <w:rFonts w:ascii="Times New Roman" w:eastAsia="Times New Roman" w:hAnsi="Times New Roman" w:cs="Times New Roman"/>
          <w:b w:val="0"/>
          <w:i w:val="0"/>
          <w:vanish w:val="0"/>
          <w:color w:val="000000"/>
          <w:sz w:val="24"/>
          <w:vertAlign w:val="baseline"/>
        </w:rPr>
        <w:t>Sklic: člena 94 in 95 uredbe o skupnih določbah</w:t>
      </w:r>
    </w:p>
    <w:p w:rsidR="00A77B3E">
      <w:pPr>
        <w:spacing w:before="100" w:after="0"/>
        <w:jc w:val="left"/>
        <w:rPr>
          <w:rFonts w:ascii="Times New Roman" w:eastAsia="Times New Roman" w:hAnsi="Times New Roman" w:cs="Times New Roman"/>
          <w:b w:val="0"/>
          <w:i w:val="0"/>
          <w:vanish w:val="0"/>
          <w:color w:val="000000"/>
          <w:sz w:val="12"/>
          <w:vertAlign w:val="baselin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9662"/>
        <w:gridCol w:w="354"/>
        <w:gridCol w:w="354"/>
      </w:tblGrid>
      <w:tr>
        <w:tblPrEx>
          <w:tblW w:w="5000" w:type="pct"/>
        </w:tblPrEx>
        <w:trPr>
          <w:cantSplit w:val="0"/>
          <w:trHeight w:hRule="auto"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Načrtovana uporaba členov 94 in 95 uredbe o skupnih določbah</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Da</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Ne</w:t>
            </w:r>
          </w:p>
        </w:tc>
      </w:tr>
      <w:tr>
        <w:tblPrEx>
          <w:tblW w:w="5000" w:type="pct"/>
        </w:tblPrEx>
        <w:trPr>
          <w:cantSplit w:val="0"/>
          <w:trHeight w:hRule="auto"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Od sprejetja programa se bo uporabljalo povračilo prispevka Unije na podlagi stroškov na enoto, pavšalnih zneskov in pavšalnih stopenj v okviru prednostne naloge v skladu s členom 94 uredbe o skupnih določbah</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fldChar w:fldCharType="begin">
                <w:ffData>
                  <w:name w:val=""/>
                  <w:enabled/>
                  <w:calcOnExit w:val="0"/>
                  <w:checkBox>
                    <w:size w:val="20"/>
                    <w:default w:val="0"/>
                    <w:checked w:val="0"/>
                  </w:checkBox>
                </w:ffData>
              </w:fldChar>
            </w:r>
            <w:r>
              <w:rPr>
                <w:rFonts w:ascii="Times New Roman" w:eastAsia="Times New Roman" w:hAnsi="Times New Roman" w:cs="Times New Roman"/>
                <w:b w:val="0"/>
                <w:i w:val="0"/>
                <w:vanish w:val="0"/>
                <w:color w:val="000000"/>
                <w:sz w:val="20"/>
                <w:vertAlign w:val="baseline"/>
              </w:rPr>
              <w:instrText xml:space="preserve"> FORMCHECKBOX </w:instrText>
            </w:r>
            <w:r>
              <w:rPr>
                <w:rFonts w:ascii="Times New Roman" w:eastAsia="Times New Roman" w:hAnsi="Times New Roman" w:cs="Times New Roman"/>
                <w:b w:val="0"/>
                <w:i w:val="0"/>
                <w:vanish w:val="0"/>
                <w:color w:val="000000"/>
                <w:sz w:val="20"/>
                <w:vertAlign w:val="baseline"/>
              </w:rPr>
              <w:fldChar w:fldCharType="end"/>
            </w:r>
            <w:r>
              <w:rPr>
                <w:rFonts w:ascii="Times New Roman" w:eastAsia="Times New Roman" w:hAnsi="Times New Roman" w:cs="Times New Roman"/>
                <w:b w:val="0"/>
                <w:i w:val="0"/>
                <w:vanish w:val="0"/>
                <w:color w:val="000000"/>
                <w:sz w:val="20"/>
                <w:vertAlign w:val="baseline"/>
              </w:rPr>
              <w:t xml:space="preserve"> </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fldChar w:fldCharType="begin">
                <w:ffData>
                  <w:name w:val=""/>
                  <w:enabled/>
                  <w:calcOnExit w:val="0"/>
                  <w:checkBox>
                    <w:size w:val="20"/>
                    <w:default w:val="1"/>
                    <w:checked w:val="1"/>
                  </w:checkBox>
                </w:ffData>
              </w:fldChar>
            </w:r>
            <w:r>
              <w:rPr>
                <w:rFonts w:ascii="Times New Roman" w:eastAsia="Times New Roman" w:hAnsi="Times New Roman" w:cs="Times New Roman"/>
                <w:b w:val="0"/>
                <w:i w:val="0"/>
                <w:vanish w:val="0"/>
                <w:color w:val="000000"/>
                <w:sz w:val="20"/>
                <w:vertAlign w:val="baseline"/>
              </w:rPr>
              <w:instrText xml:space="preserve"> FORMCHECKBOX </w:instrText>
            </w:r>
            <w:r>
              <w:rPr>
                <w:rFonts w:ascii="Times New Roman" w:eastAsia="Times New Roman" w:hAnsi="Times New Roman" w:cs="Times New Roman"/>
                <w:b w:val="0"/>
                <w:i w:val="0"/>
                <w:vanish w:val="0"/>
                <w:color w:val="000000"/>
                <w:sz w:val="20"/>
                <w:vertAlign w:val="baseline"/>
              </w:rPr>
              <w:fldChar w:fldCharType="end"/>
            </w:r>
            <w:r>
              <w:rPr>
                <w:rFonts w:ascii="Times New Roman" w:eastAsia="Times New Roman" w:hAnsi="Times New Roman" w:cs="Times New Roman"/>
                <w:b w:val="0"/>
                <w:i w:val="0"/>
                <w:vanish w:val="0"/>
                <w:color w:val="000000"/>
                <w:sz w:val="20"/>
                <w:vertAlign w:val="baseline"/>
              </w:rPr>
              <w:t xml:space="preserve"> </w:t>
            </w:r>
          </w:p>
        </w:tc>
      </w:tr>
      <w:tr>
        <w:tblPrEx>
          <w:tblW w:w="5000" w:type="pct"/>
        </w:tblPrEx>
        <w:trPr>
          <w:cantSplit w:val="0"/>
          <w:trHeight w:hRule="auto"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Od sprejetja programa se bo uporabljalo povračilo prispevka Unije na podlagi financiranja, ki ni povezano s stroški, v skladu s členom 95 uredbe o skupnih določbah</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fldChar w:fldCharType="begin">
                <w:ffData>
                  <w:name w:val=""/>
                  <w:enabled/>
                  <w:calcOnExit w:val="0"/>
                  <w:checkBox>
                    <w:size w:val="20"/>
                    <w:default w:val="0"/>
                    <w:checked w:val="0"/>
                  </w:checkBox>
                </w:ffData>
              </w:fldChar>
            </w:r>
            <w:r>
              <w:rPr>
                <w:rFonts w:ascii="Times New Roman" w:eastAsia="Times New Roman" w:hAnsi="Times New Roman" w:cs="Times New Roman"/>
                <w:b w:val="0"/>
                <w:i w:val="0"/>
                <w:vanish w:val="0"/>
                <w:color w:val="000000"/>
                <w:sz w:val="20"/>
                <w:vertAlign w:val="baseline"/>
              </w:rPr>
              <w:instrText xml:space="preserve"> FORMCHECKBOX </w:instrText>
            </w:r>
            <w:r>
              <w:rPr>
                <w:rFonts w:ascii="Times New Roman" w:eastAsia="Times New Roman" w:hAnsi="Times New Roman" w:cs="Times New Roman"/>
                <w:b w:val="0"/>
                <w:i w:val="0"/>
                <w:vanish w:val="0"/>
                <w:color w:val="000000"/>
                <w:sz w:val="20"/>
                <w:vertAlign w:val="baseline"/>
              </w:rPr>
              <w:fldChar w:fldCharType="end"/>
            </w:r>
            <w:r>
              <w:rPr>
                <w:rFonts w:ascii="Times New Roman" w:eastAsia="Times New Roman" w:hAnsi="Times New Roman" w:cs="Times New Roman"/>
                <w:b w:val="0"/>
                <w:i w:val="0"/>
                <w:vanish w:val="0"/>
                <w:color w:val="000000"/>
                <w:sz w:val="20"/>
                <w:vertAlign w:val="baseline"/>
              </w:rPr>
              <w:t xml:space="preserve"> </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fldChar w:fldCharType="begin">
                <w:ffData>
                  <w:name w:val=""/>
                  <w:enabled/>
                  <w:calcOnExit w:val="0"/>
                  <w:checkBox>
                    <w:size w:val="20"/>
                    <w:default w:val="1"/>
                    <w:checked w:val="1"/>
                  </w:checkBox>
                </w:ffData>
              </w:fldChar>
            </w:r>
            <w:r>
              <w:rPr>
                <w:rFonts w:ascii="Times New Roman" w:eastAsia="Times New Roman" w:hAnsi="Times New Roman" w:cs="Times New Roman"/>
                <w:b w:val="0"/>
                <w:i w:val="0"/>
                <w:vanish w:val="0"/>
                <w:color w:val="000000"/>
                <w:sz w:val="20"/>
                <w:vertAlign w:val="baseline"/>
              </w:rPr>
              <w:instrText xml:space="preserve"> FORMCHECKBOX </w:instrText>
            </w:r>
            <w:r>
              <w:rPr>
                <w:rFonts w:ascii="Times New Roman" w:eastAsia="Times New Roman" w:hAnsi="Times New Roman" w:cs="Times New Roman"/>
                <w:b w:val="0"/>
                <w:i w:val="0"/>
                <w:vanish w:val="0"/>
                <w:color w:val="000000"/>
                <w:sz w:val="20"/>
                <w:vertAlign w:val="baseline"/>
              </w:rPr>
              <w:fldChar w:fldCharType="end"/>
            </w:r>
            <w:r>
              <w:rPr>
                <w:rFonts w:ascii="Times New Roman" w:eastAsia="Times New Roman" w:hAnsi="Times New Roman" w:cs="Times New Roman"/>
                <w:b w:val="0"/>
                <w:i w:val="0"/>
                <w:vanish w:val="0"/>
                <w:color w:val="000000"/>
                <w:sz w:val="20"/>
                <w:vertAlign w:val="baseline"/>
              </w:rPr>
              <w:t xml:space="preserve"> </w:t>
            </w:r>
          </w:p>
        </w:tc>
      </w:tr>
    </w:tbl>
    <w:p w:rsidR="00A77B3E">
      <w:pPr>
        <w:spacing w:before="100" w:after="0"/>
        <w:jc w:val="center"/>
        <w:rPr>
          <w:rFonts w:ascii="Times New Roman" w:eastAsia="Times New Roman" w:hAnsi="Times New Roman" w:cs="Times New Roman"/>
          <w:b w:val="0"/>
          <w:i w:val="0"/>
          <w:vanish w:val="0"/>
          <w:color w:val="000000"/>
          <w:sz w:val="20"/>
          <w:vertAlign w:val="baseline"/>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orient="portrait"/>
          <w:pgMar w:top="720" w:right="936" w:bottom="864" w:left="720" w:header="0" w:footer="72" w:gutter="0"/>
          <w:cols w:space="708"/>
          <w:noEndnote/>
          <w:docGrid w:linePitch="360"/>
        </w:sectPr>
      </w:pPr>
    </w:p>
    <w:p w:rsidR="00A77B3E">
      <w:pPr>
        <w:pStyle w:val="Heading1"/>
        <w:spacing w:before="100" w:after="0"/>
        <w:jc w:val="left"/>
        <w:rPr>
          <w:rFonts w:ascii="Times New Roman" w:eastAsia="Times New Roman" w:hAnsi="Times New Roman" w:cs="Times New Roman"/>
          <w:b w:val="0"/>
          <w:i w:val="0"/>
          <w:vanish w:val="0"/>
          <w:color w:val="000000"/>
          <w:sz w:val="24"/>
          <w:vertAlign w:val="baseline"/>
        </w:rPr>
      </w:pPr>
      <w:bookmarkStart w:id="40" w:name="_Toc256000095"/>
      <w:r>
        <w:rPr>
          <w:rFonts w:ascii="Times New Roman" w:eastAsia="Times New Roman" w:hAnsi="Times New Roman" w:cs="Times New Roman"/>
          <w:b w:val="0"/>
          <w:i w:val="0"/>
          <w:vanish w:val="0"/>
          <w:color w:val="000000"/>
          <w:sz w:val="24"/>
          <w:vertAlign w:val="baseline"/>
        </w:rPr>
        <w:t>Dodatek 1: Prispevek Unije na podlagi stroškov na enoto, pavšalnih zneskov in pavšalnih stopenj</w:t>
      </w:r>
      <w:bookmarkEnd w:id="40"/>
    </w:p>
    <w:p w:rsidR="00A77B3E">
      <w:pPr>
        <w:pStyle w:val="Heading2"/>
        <w:spacing w:before="100" w:after="0"/>
        <w:jc w:val="left"/>
        <w:rPr>
          <w:rFonts w:ascii="Times New Roman" w:eastAsia="Times New Roman" w:hAnsi="Times New Roman" w:cs="Times New Roman"/>
          <w:b w:val="0"/>
          <w:i w:val="0"/>
          <w:vanish w:val="0"/>
          <w:color w:val="000000"/>
          <w:sz w:val="24"/>
          <w:vertAlign w:val="baseline"/>
        </w:rPr>
      </w:pPr>
      <w:bookmarkStart w:id="41" w:name="_Toc256000096"/>
      <w:r>
        <w:rPr>
          <w:rFonts w:ascii="Times New Roman" w:eastAsia="Times New Roman" w:hAnsi="Times New Roman" w:cs="Times New Roman"/>
          <w:b w:val="0"/>
          <w:i w:val="0"/>
          <w:vanish w:val="0"/>
          <w:color w:val="000000"/>
          <w:sz w:val="24"/>
          <w:vertAlign w:val="baseline"/>
        </w:rPr>
        <w:t>A. Povzetek glavnih elementov</w:t>
      </w:r>
      <w:bookmarkEnd w:id="41"/>
    </w:p>
    <w:p w:rsidR="00A77B3E">
      <w:pPr>
        <w:spacing w:before="100" w:after="0"/>
        <w:jc w:val="left"/>
        <w:rPr>
          <w:rFonts w:ascii="Times New Roman" w:eastAsia="Times New Roman" w:hAnsi="Times New Roman" w:cs="Times New Roman"/>
          <w:b w:val="0"/>
          <w:i w:val="0"/>
          <w:vanish w:val="0"/>
          <w:color w:val="000000"/>
          <w:sz w:val="12"/>
          <w:vertAlign w:val="baselin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2900"/>
        <w:gridCol w:w="1500"/>
        <w:gridCol w:w="1300"/>
        <w:gridCol w:w="2000"/>
        <w:gridCol w:w="1300"/>
        <w:gridCol w:w="2000"/>
        <w:gridCol w:w="1500"/>
        <w:gridCol w:w="1200"/>
        <w:gridCol w:w="1500"/>
      </w:tblGrid>
      <w:tr>
        <w:tblPrEx>
          <w:tblW w:w="5000" w:type="pct"/>
        </w:tblPrEx>
        <w:trPr>
          <w:cantSplit w:val="0"/>
          <w:trHeight w:hRule="auto" w:val="0"/>
          <w:tblHeader/>
        </w:trPr>
        <w:tc>
          <w:tcPr>
            <w:tcW w:w="2900" w:type="dxa"/>
            <w:vMerge w:val="restar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12"/>
                <w:vertAlign w:val="baseline"/>
              </w:rPr>
            </w:pPr>
            <w:r>
              <w:rPr>
                <w:rFonts w:ascii="Times New Roman" w:eastAsia="Times New Roman" w:hAnsi="Times New Roman" w:cs="Times New Roman"/>
                <w:b w:val="0"/>
                <w:i w:val="0"/>
                <w:vanish w:val="0"/>
                <w:color w:val="000000"/>
                <w:sz w:val="12"/>
                <w:vertAlign w:val="baseline"/>
              </w:rPr>
              <w:t>Specifični cilj</w:t>
            </w:r>
          </w:p>
        </w:tc>
        <w:tc>
          <w:tcPr>
            <w:tcW w:w="1500" w:type="dxa"/>
            <w:vMerge w:val="restar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12"/>
                <w:vertAlign w:val="baseline"/>
              </w:rPr>
            </w:pPr>
            <w:r>
              <w:rPr>
                <w:rFonts w:ascii="Times New Roman" w:eastAsia="Times New Roman" w:hAnsi="Times New Roman" w:cs="Times New Roman"/>
                <w:b w:val="0"/>
                <w:i w:val="0"/>
                <w:vanish w:val="0"/>
                <w:color w:val="000000"/>
                <w:sz w:val="12"/>
                <w:vertAlign w:val="baseline"/>
              </w:rPr>
              <w:t>Ocenjeni delež skupnih dodeljenih finančnih sredstev v okviru specifičnega cilja, za katerega bodo veljale poenostavljene možnosti obračunavanja stroškov, v %</w:t>
            </w:r>
          </w:p>
        </w:tc>
        <w:tc>
          <w:tcPr>
            <w:tcW w:w="3300" w:type="dxa"/>
            <w:gridSpan w:val="2"/>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12"/>
                <w:vertAlign w:val="baseline"/>
              </w:rPr>
            </w:pPr>
            <w:r>
              <w:rPr>
                <w:rFonts w:ascii="Times New Roman" w:eastAsia="Times New Roman" w:hAnsi="Times New Roman" w:cs="Times New Roman"/>
                <w:b w:val="0"/>
                <w:i w:val="0"/>
                <w:vanish w:val="0"/>
                <w:color w:val="000000"/>
                <w:sz w:val="12"/>
                <w:vertAlign w:val="baseline"/>
              </w:rPr>
              <w:t>Vrste zajetih operacij</w:t>
            </w:r>
          </w:p>
        </w:tc>
        <w:tc>
          <w:tcPr>
            <w:tcW w:w="3300" w:type="dxa"/>
            <w:gridSpan w:val="2"/>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12"/>
                <w:vertAlign w:val="baseline"/>
              </w:rPr>
            </w:pPr>
            <w:r>
              <w:rPr>
                <w:rFonts w:ascii="Times New Roman" w:eastAsia="Times New Roman" w:hAnsi="Times New Roman" w:cs="Times New Roman"/>
                <w:b w:val="0"/>
                <w:i w:val="0"/>
                <w:vanish w:val="0"/>
                <w:color w:val="000000"/>
                <w:sz w:val="12"/>
                <w:vertAlign w:val="baseline"/>
              </w:rPr>
              <w:t>Kazalnik, na podlagi katerega se izplača povračilo (2)</w:t>
            </w:r>
          </w:p>
        </w:tc>
        <w:tc>
          <w:tcPr>
            <w:tcW w:w="1500" w:type="dxa"/>
            <w:vMerge w:val="restar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12"/>
                <w:vertAlign w:val="baseline"/>
              </w:rPr>
            </w:pPr>
            <w:r>
              <w:rPr>
                <w:rFonts w:ascii="Times New Roman" w:eastAsia="Times New Roman" w:hAnsi="Times New Roman" w:cs="Times New Roman"/>
                <w:b w:val="0"/>
                <w:i w:val="0"/>
                <w:vanish w:val="0"/>
                <w:color w:val="000000"/>
                <w:sz w:val="12"/>
                <w:vertAlign w:val="baseline"/>
              </w:rPr>
              <w:t>Merska enota za kazalnik, ki sproži povračilo</w:t>
            </w:r>
          </w:p>
        </w:tc>
        <w:tc>
          <w:tcPr>
            <w:tcW w:w="1200" w:type="dxa"/>
            <w:vMerge w:val="restar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12"/>
                <w:vertAlign w:val="baseline"/>
              </w:rPr>
            </w:pPr>
            <w:r>
              <w:rPr>
                <w:rFonts w:ascii="Times New Roman" w:eastAsia="Times New Roman" w:hAnsi="Times New Roman" w:cs="Times New Roman"/>
                <w:b w:val="0"/>
                <w:i w:val="0"/>
                <w:vanish w:val="0"/>
                <w:color w:val="000000"/>
                <w:sz w:val="12"/>
                <w:vertAlign w:val="baseline"/>
              </w:rPr>
              <w:t>Vrsta poenostavljenih možnosti obračunavanja stroškov (standardna lestvica stroškov na enoto, pavšalni zneski ali pavšalne stopnje)</w:t>
            </w:r>
          </w:p>
        </w:tc>
        <w:tc>
          <w:tcPr>
            <w:tcW w:w="1500" w:type="dxa"/>
            <w:vMerge w:val="restar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12"/>
                <w:vertAlign w:val="baseline"/>
              </w:rPr>
            </w:pPr>
            <w:r>
              <w:rPr>
                <w:rFonts w:ascii="Times New Roman" w:eastAsia="Times New Roman" w:hAnsi="Times New Roman" w:cs="Times New Roman"/>
                <w:b w:val="0"/>
                <w:i w:val="0"/>
                <w:vanish w:val="0"/>
                <w:color w:val="000000"/>
                <w:sz w:val="12"/>
                <w:vertAlign w:val="baseline"/>
              </w:rPr>
              <w:t>Znesek (v EUR) ali odstotni delež (v primeru pavšalne stopnje) poenostavljenih možnosti obračunavanja stroškov</w:t>
            </w:r>
          </w:p>
        </w:tc>
      </w:tr>
      <w:tr>
        <w:tblPrEx>
          <w:tblW w:w="5000" w:type="pct"/>
        </w:tblPrEx>
        <w:trPr>
          <w:cantSplit w:val="0"/>
          <w:trHeight w:hRule="auto" w:val="0"/>
          <w:tblHeader/>
        </w:trPr>
        <w:tc>
          <w:tcPr>
            <w:tcW w:w="2900" w:type="dxa"/>
            <w:vMerge/>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12"/>
                <w:vertAlign w:val="baseline"/>
              </w:rPr>
            </w:pPr>
          </w:p>
        </w:tc>
        <w:tc>
          <w:tcPr>
            <w:tcW w:w="1500" w:type="dxa"/>
            <w:vMerge/>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12"/>
                <w:vertAlign w:val="baseline"/>
              </w:rPr>
            </w:pPr>
          </w:p>
        </w:tc>
        <w:tc>
          <w:tcPr>
            <w:tcW w:w="13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12"/>
                <w:vertAlign w:val="baseline"/>
              </w:rPr>
            </w:pPr>
            <w:r>
              <w:rPr>
                <w:rFonts w:ascii="Times New Roman" w:eastAsia="Times New Roman" w:hAnsi="Times New Roman" w:cs="Times New Roman"/>
                <w:b w:val="0"/>
                <w:i w:val="0"/>
                <w:vanish w:val="0"/>
                <w:color w:val="000000"/>
                <w:sz w:val="12"/>
                <w:vertAlign w:val="baseline"/>
              </w:rPr>
              <w:t>Oznaka(1)</w:t>
            </w:r>
          </w:p>
        </w:tc>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12"/>
                <w:vertAlign w:val="baseline"/>
              </w:rPr>
            </w:pPr>
            <w:r>
              <w:rPr>
                <w:rFonts w:ascii="Times New Roman" w:eastAsia="Times New Roman" w:hAnsi="Times New Roman" w:cs="Times New Roman"/>
                <w:b w:val="0"/>
                <w:i w:val="0"/>
                <w:vanish w:val="0"/>
                <w:color w:val="000000"/>
                <w:sz w:val="12"/>
                <w:vertAlign w:val="baseline"/>
              </w:rPr>
              <w:t>Opis</w:t>
            </w:r>
          </w:p>
        </w:tc>
        <w:tc>
          <w:tcPr>
            <w:tcW w:w="13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12"/>
                <w:vertAlign w:val="baseline"/>
              </w:rPr>
            </w:pPr>
            <w:r>
              <w:rPr>
                <w:rFonts w:ascii="Times New Roman" w:eastAsia="Times New Roman" w:hAnsi="Times New Roman" w:cs="Times New Roman"/>
                <w:b w:val="0"/>
                <w:i w:val="0"/>
                <w:vanish w:val="0"/>
                <w:color w:val="000000"/>
                <w:sz w:val="12"/>
                <w:vertAlign w:val="baseline"/>
              </w:rPr>
              <w:t>Oznaka(2)</w:t>
            </w:r>
          </w:p>
        </w:tc>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12"/>
                <w:vertAlign w:val="baseline"/>
              </w:rPr>
            </w:pPr>
            <w:r>
              <w:rPr>
                <w:rFonts w:ascii="Times New Roman" w:eastAsia="Times New Roman" w:hAnsi="Times New Roman" w:cs="Times New Roman"/>
                <w:b w:val="0"/>
                <w:i w:val="0"/>
                <w:vanish w:val="0"/>
                <w:color w:val="000000"/>
                <w:sz w:val="12"/>
                <w:vertAlign w:val="baseline"/>
              </w:rPr>
              <w:t>Opis</w:t>
            </w:r>
          </w:p>
        </w:tc>
        <w:tc>
          <w:tcPr>
            <w:tcW w:w="1500" w:type="dxa"/>
            <w:vMerge/>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12"/>
                <w:vertAlign w:val="baseline"/>
              </w:rPr>
            </w:pPr>
          </w:p>
        </w:tc>
        <w:tc>
          <w:tcPr>
            <w:tcW w:w="1200" w:type="dxa"/>
            <w:vMerge/>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12"/>
                <w:vertAlign w:val="baseline"/>
              </w:rPr>
            </w:pPr>
          </w:p>
        </w:tc>
        <w:tc>
          <w:tcPr>
            <w:tcW w:w="1500" w:type="dxa"/>
            <w:vMerge/>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12"/>
                <w:vertAlign w:val="baseline"/>
              </w:rPr>
            </w:pPr>
          </w:p>
        </w:tc>
      </w:tr>
    </w:tbl>
    <w:p w:rsidR="00A77B3E">
      <w:pPr>
        <w:spacing w:before="100" w:after="0"/>
        <w:jc w:val="left"/>
        <w:rPr>
          <w:rFonts w:ascii="Times New Roman" w:eastAsia="Times New Roman" w:hAnsi="Times New Roman" w:cs="Times New Roman"/>
          <w:b w:val="0"/>
          <w:i w:val="0"/>
          <w:vanish w:val="0"/>
          <w:color w:val="000000"/>
          <w:sz w:val="12"/>
          <w:vertAlign w:val="baseline"/>
        </w:rPr>
      </w:pPr>
      <w:r>
        <w:rPr>
          <w:rFonts w:ascii="Times New Roman" w:eastAsia="Times New Roman" w:hAnsi="Times New Roman" w:cs="Times New Roman"/>
          <w:b w:val="0"/>
          <w:i w:val="0"/>
          <w:vanish w:val="0"/>
          <w:color w:val="000000"/>
          <w:sz w:val="12"/>
          <w:vertAlign w:val="baseline"/>
        </w:rPr>
        <w:t>(1) To se nanaša na kodo v Prilogi VI uredb o AMIF, IUMV in SNV.</w:t>
      </w:r>
    </w:p>
    <w:p w:rsidR="00A77B3E">
      <w:pPr>
        <w:spacing w:before="100" w:after="0"/>
        <w:jc w:val="left"/>
        <w:rPr>
          <w:rFonts w:ascii="Times New Roman" w:eastAsia="Times New Roman" w:hAnsi="Times New Roman" w:cs="Times New Roman"/>
          <w:b w:val="0"/>
          <w:i w:val="0"/>
          <w:vanish w:val="0"/>
          <w:color w:val="000000"/>
          <w:sz w:val="12"/>
          <w:vertAlign w:val="baseline"/>
        </w:rPr>
      </w:pPr>
      <w:r>
        <w:rPr>
          <w:rFonts w:ascii="Times New Roman" w:eastAsia="Times New Roman" w:hAnsi="Times New Roman" w:cs="Times New Roman"/>
          <w:b w:val="0"/>
          <w:i w:val="0"/>
          <w:vanish w:val="0"/>
          <w:color w:val="000000"/>
          <w:sz w:val="12"/>
          <w:vertAlign w:val="baseline"/>
        </w:rPr>
        <w:t>(2) To se nanaša na kodo skupnega kazalnika, če je ustrezno.</w:t>
      </w:r>
    </w:p>
    <w:p w:rsidR="00A77B3E">
      <w:pPr>
        <w:spacing w:before="100" w:after="0"/>
        <w:jc w:val="left"/>
        <w:rPr>
          <w:rFonts w:ascii="Times New Roman" w:eastAsia="Times New Roman" w:hAnsi="Times New Roman" w:cs="Times New Roman"/>
          <w:b w:val="0"/>
          <w:i w:val="0"/>
          <w:vanish w:val="0"/>
          <w:color w:val="000000"/>
          <w:sz w:val="24"/>
          <w:vertAlign w:val="baseline"/>
        </w:rPr>
        <w:sectPr>
          <w:headerReference w:type="even" r:id="rId76"/>
          <w:headerReference w:type="default" r:id="rId77"/>
          <w:footerReference w:type="even" r:id="rId78"/>
          <w:footerReference w:type="default" r:id="rId79"/>
          <w:headerReference w:type="first" r:id="rId80"/>
          <w:footerReference w:type="first" r:id="rId81"/>
          <w:type w:val="nextPage"/>
          <w:pgSz w:w="16838" w:h="11906" w:orient="landscape"/>
          <w:pgMar w:top="720" w:right="720" w:bottom="864" w:left="936" w:header="288" w:footer="72" w:gutter="0"/>
          <w:cols w:space="708"/>
          <w:noEndnote/>
          <w:docGrid w:linePitch="360"/>
        </w:sectPr>
      </w:pPr>
    </w:p>
    <w:p w:rsidR="00A77B3E">
      <w:pPr>
        <w:spacing w:before="100" w:after="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Dodatek 1: Prispevek Unije na podlagi stroškov na enoto, pavšalnih zneskov in pavšalnih stopenj</w:t>
      </w:r>
    </w:p>
    <w:p w:rsidR="00A77B3E">
      <w:pPr>
        <w:pStyle w:val="Heading2"/>
        <w:spacing w:before="100" w:after="0"/>
        <w:jc w:val="left"/>
        <w:rPr>
          <w:rFonts w:ascii="Times New Roman" w:eastAsia="Times New Roman" w:hAnsi="Times New Roman" w:cs="Times New Roman"/>
          <w:b w:val="0"/>
          <w:i w:val="0"/>
          <w:vanish w:val="0"/>
          <w:color w:val="000000"/>
          <w:sz w:val="24"/>
          <w:vertAlign w:val="baseline"/>
        </w:rPr>
      </w:pPr>
      <w:bookmarkStart w:id="42" w:name="_Toc256000097"/>
      <w:r>
        <w:rPr>
          <w:rFonts w:ascii="Times New Roman" w:eastAsia="Times New Roman" w:hAnsi="Times New Roman" w:cs="Times New Roman"/>
          <w:b w:val="0"/>
          <w:i w:val="0"/>
          <w:vanish w:val="0"/>
          <w:color w:val="000000"/>
          <w:sz w:val="24"/>
          <w:vertAlign w:val="baseline"/>
        </w:rPr>
        <w:t>B. Podrobnosti glede na vrsto operacije</w:t>
      </w:r>
      <w:bookmarkEnd w:id="42"/>
    </w:p>
    <w:p w:rsidR="00A77B3E">
      <w:pPr>
        <w:spacing w:before="100" w:after="0"/>
        <w:jc w:val="left"/>
        <w:rPr>
          <w:rFonts w:ascii="Times New Roman" w:eastAsia="Times New Roman" w:hAnsi="Times New Roman" w:cs="Times New Roman"/>
          <w:b w:val="0"/>
          <w:i w:val="0"/>
          <w:vanish w:val="0"/>
          <w:color w:val="000000"/>
          <w:sz w:val="24"/>
          <w:vertAlign w:val="baseline"/>
        </w:rPr>
        <w:sectPr>
          <w:type w:val="nextPage"/>
          <w:pgSz w:w="16838" w:h="11906" w:orient="landscape"/>
          <w:pgMar w:top="720" w:right="720" w:bottom="864" w:left="936" w:header="288" w:footer="72" w:gutter="0"/>
          <w:cols w:space="708"/>
          <w:noEndnote/>
          <w:docGrid w:linePitch="360"/>
        </w:sectPr>
      </w:pPr>
    </w:p>
    <w:p w:rsidR="00A77B3E">
      <w:pPr>
        <w:pStyle w:val="Heading2"/>
        <w:spacing w:before="100" w:after="0"/>
        <w:jc w:val="left"/>
        <w:rPr>
          <w:rFonts w:ascii="TimesNewRoman" w:eastAsia="TimesNewRoman" w:hAnsi="TimesNewRoman" w:cs="TimesNewRoman"/>
          <w:b w:val="0"/>
          <w:i w:val="0"/>
          <w:vanish w:val="0"/>
          <w:color w:val="000000"/>
          <w:sz w:val="24"/>
          <w:vertAlign w:val="baseline"/>
        </w:rPr>
      </w:pPr>
      <w:bookmarkStart w:id="43" w:name="_Toc256000098"/>
      <w:r>
        <w:rPr>
          <w:rFonts w:ascii="TimesNewRoman" w:eastAsia="TimesNewRoman" w:hAnsi="TimesNewRoman" w:cs="TimesNewRoman"/>
          <w:b w:val="0"/>
          <w:i w:val="0"/>
          <w:vanish w:val="0"/>
          <w:color w:val="000000"/>
          <w:sz w:val="24"/>
          <w:vertAlign w:val="baseline"/>
        </w:rPr>
        <w:t>C. Izračun standardnih stroškov na enoto, pavšalnih zneskov in pavšalnih stopenj</w:t>
      </w:r>
      <w:bookmarkEnd w:id="43"/>
    </w:p>
    <w:p w:rsidR="00A77B3E">
      <w:pPr>
        <w:pStyle w:val="Heading4"/>
        <w:spacing w:before="100" w:after="0"/>
        <w:jc w:val="left"/>
        <w:rPr>
          <w:rFonts w:ascii="TimesNewRoman" w:eastAsia="TimesNewRoman" w:hAnsi="TimesNewRoman" w:cs="TimesNewRoman"/>
          <w:b w:val="0"/>
          <w:i w:val="0"/>
          <w:vanish w:val="0"/>
          <w:color w:val="000000"/>
          <w:sz w:val="24"/>
          <w:vertAlign w:val="baseline"/>
        </w:rPr>
      </w:pPr>
      <w:bookmarkStart w:id="44" w:name="_Toc256000099"/>
      <w:r>
        <w:rPr>
          <w:rFonts w:ascii="TimesNewRoman" w:eastAsia="TimesNewRoman" w:hAnsi="TimesNewRoman" w:cs="TimesNewRoman"/>
          <w:b w:val="0"/>
          <w:i w:val="0"/>
          <w:vanish w:val="0"/>
          <w:color w:val="000000"/>
          <w:sz w:val="24"/>
          <w:vertAlign w:val="baseline"/>
        </w:rPr>
        <w:t>1. Vir podatkov, uporabljenih za izračun standardnih stroškov na enoto, pavšalnih zneskov ali pavšalnih stopenj (kdo je predložil, zbral in evidentiral podatke; kje so podatki shranjeni; presečni datumi; potrjevanje itd.)</w:t>
      </w:r>
      <w:bookmarkEnd w:id="44"/>
    </w:p>
    <w:p w:rsidR="00A77B3E">
      <w:pPr>
        <w:spacing w:before="100" w:after="0"/>
        <w:jc w:val="left"/>
        <w:rPr>
          <w:rFonts w:ascii="TimesNewRoman" w:eastAsia="TimesNewRoman" w:hAnsi="TimesNewRoman" w:cs="TimesNewRoman"/>
          <w:b w:val="0"/>
          <w:i w:val="0"/>
          <w:vanish w:val="0"/>
          <w:color w:val="000000"/>
          <w:sz w:val="12"/>
          <w:vertAlign w:val="baseline"/>
        </w:rPr>
      </w:pPr>
    </w:p>
    <w:tbl>
      <w:tblPr>
        <w:tblW w:w="4950" w:type="pct"/>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10385"/>
      </w:tblGrid>
      <w:tr>
        <w:tblPrEx>
          <w:tblW w:w="4950" w:type="pct"/>
          <w:tblInd w:w="80" w:type="dxa"/>
        </w:tblPrEx>
        <w:trPr>
          <w:cantSplit w:val="0"/>
          <w:trHeight w:hRule="auto" w:val="0"/>
        </w:trPr>
        <w:tc>
          <w:tcPr>
            <w:tcW w:w="1667" w:type="pct"/>
            <w:tcBorders>
              <w:top w:val="single" w:sz="4" w:space="0" w:color="000000"/>
              <w:left w:val="single" w:sz="4" w:space="0" w:color="000000"/>
              <w:bottom w:val="single" w:sz="4" w:space="0" w:color="000000"/>
              <w:right w:val="single" w:sz="4" w:space="0" w:color="000000"/>
            </w:tcBorders>
            <w:tcMar>
              <w:top w:w="20" w:type="dxa"/>
              <w:left w:w="120" w:type="dxa"/>
              <w:bottom w:w="120" w:type="dxa"/>
              <w:right w:w="120" w:type="dxa"/>
            </w:tcMar>
            <w:vAlign w:val="bottom"/>
          </w:tcPr>
          <w:p w:rsidR="00A77B3E">
            <w:pPr>
              <w:spacing w:before="100" w:after="0"/>
              <w:jc w:val="left"/>
              <w:rPr>
                <w:rFonts w:ascii="Times New Roman" w:eastAsia="Times New Roman" w:hAnsi="Times New Roman" w:cs="Times New Roman"/>
                <w:b w:val="0"/>
                <w:i w:val="0"/>
                <w:vanish w:val="0"/>
                <w:color w:val="000000"/>
                <w:sz w:val="24"/>
                <w:vertAlign w:val="baseline"/>
              </w:rPr>
            </w:pPr>
          </w:p>
        </w:tc>
      </w:tr>
    </w:tbl>
    <w:p w:rsidR="00A77B3E">
      <w:pPr>
        <w:pStyle w:val="Heading4"/>
        <w:spacing w:before="100" w:after="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br w:type="page"/>
      </w:r>
      <w:bookmarkStart w:id="45" w:name="_Toc256000100"/>
      <w:r>
        <w:rPr>
          <w:rFonts w:ascii="Times New Roman" w:eastAsia="Times New Roman" w:hAnsi="Times New Roman" w:cs="Times New Roman"/>
          <w:b w:val="0"/>
          <w:i w:val="0"/>
          <w:vanish w:val="0"/>
          <w:color w:val="000000"/>
          <w:sz w:val="24"/>
          <w:vertAlign w:val="baseline"/>
        </w:rPr>
        <w:t>2. Navedite, zakaj sta predlagana metoda in izračun na podlagi člena 94(2) uredbe o skupnih določbah relevantna za vrsto operacije.</w:t>
      </w:r>
      <w:bookmarkEnd w:id="45"/>
    </w:p>
    <w:p w:rsidR="00A77B3E">
      <w:pPr>
        <w:spacing w:before="100" w:after="0"/>
        <w:jc w:val="left"/>
        <w:rPr>
          <w:rFonts w:ascii="Times New Roman" w:eastAsia="Times New Roman" w:hAnsi="Times New Roman" w:cs="Times New Roman"/>
          <w:b w:val="0"/>
          <w:i w:val="0"/>
          <w:vanish w:val="0"/>
          <w:color w:val="000000"/>
          <w:sz w:val="12"/>
          <w:vertAlign w:val="baseline"/>
        </w:rPr>
      </w:pPr>
    </w:p>
    <w:tbl>
      <w:tblPr>
        <w:tblW w:w="4950" w:type="pct"/>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10385"/>
      </w:tblGrid>
      <w:tr>
        <w:tblPrEx>
          <w:tblW w:w="4950" w:type="pct"/>
          <w:tblInd w:w="80" w:type="dxa"/>
        </w:tblPrEx>
        <w:trPr>
          <w:cantSplit w:val="0"/>
          <w:trHeight w:hRule="auto" w:val="0"/>
        </w:trPr>
        <w:tc>
          <w:tcPr>
            <w:tcW w:w="1667" w:type="pct"/>
            <w:tcBorders>
              <w:top w:val="single" w:sz="4" w:space="0" w:color="000000"/>
              <w:left w:val="single" w:sz="4" w:space="0" w:color="000000"/>
              <w:bottom w:val="single" w:sz="4" w:space="0" w:color="000000"/>
              <w:right w:val="single" w:sz="4" w:space="0" w:color="000000"/>
            </w:tcBorders>
            <w:tcMar>
              <w:top w:w="20" w:type="dxa"/>
              <w:left w:w="120" w:type="dxa"/>
              <w:bottom w:w="120" w:type="dxa"/>
              <w:right w:w="120" w:type="dxa"/>
            </w:tcMar>
            <w:vAlign w:val="bottom"/>
          </w:tcPr>
          <w:p w:rsidR="00A77B3E">
            <w:pPr>
              <w:spacing w:before="100" w:after="0"/>
              <w:jc w:val="left"/>
              <w:rPr>
                <w:rFonts w:ascii="Times New Roman" w:eastAsia="Times New Roman" w:hAnsi="Times New Roman" w:cs="Times New Roman"/>
                <w:b w:val="0"/>
                <w:i w:val="0"/>
                <w:vanish w:val="0"/>
                <w:color w:val="000000"/>
                <w:sz w:val="24"/>
                <w:vertAlign w:val="baseline"/>
              </w:rPr>
            </w:pPr>
          </w:p>
        </w:tc>
      </w:tr>
    </w:tbl>
    <w:p w:rsidR="00A77B3E">
      <w:pPr>
        <w:pStyle w:val="Heading4"/>
        <w:spacing w:before="100" w:after="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br w:type="page"/>
      </w:r>
      <w:bookmarkStart w:id="46" w:name="_Toc256000101"/>
      <w:r>
        <w:rPr>
          <w:rFonts w:ascii="Times New Roman" w:eastAsia="Times New Roman" w:hAnsi="Times New Roman" w:cs="Times New Roman"/>
          <w:b w:val="0"/>
          <w:i w:val="0"/>
          <w:vanish w:val="0"/>
          <w:color w:val="000000"/>
          <w:sz w:val="24"/>
          <w:vertAlign w:val="baseline"/>
        </w:rPr>
        <w:t>3. Navedite, kako so bili izračuni narejeni, vključno zlasti s predpostavkami v smislu kakovosti ali količin. Če je to relevantno, je treba uporabiti in na zahtevo predložiti statistične dokaze in referenčne vrednosti v obliki, ki jo lahko uporabi Evropska komisija.</w:t>
      </w:r>
      <w:bookmarkEnd w:id="46"/>
    </w:p>
    <w:p w:rsidR="00A77B3E">
      <w:pPr>
        <w:spacing w:before="100" w:after="0"/>
        <w:jc w:val="left"/>
        <w:rPr>
          <w:rFonts w:ascii="Times New Roman" w:eastAsia="Times New Roman" w:hAnsi="Times New Roman" w:cs="Times New Roman"/>
          <w:b w:val="0"/>
          <w:i w:val="0"/>
          <w:vanish w:val="0"/>
          <w:color w:val="000000"/>
          <w:sz w:val="12"/>
          <w:vertAlign w:val="baseline"/>
        </w:rPr>
      </w:pPr>
    </w:p>
    <w:tbl>
      <w:tblPr>
        <w:tblW w:w="4950" w:type="pct"/>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10385"/>
      </w:tblGrid>
      <w:tr>
        <w:tblPrEx>
          <w:tblW w:w="4950" w:type="pct"/>
          <w:tblInd w:w="80" w:type="dxa"/>
        </w:tblPrEx>
        <w:trPr>
          <w:cantSplit w:val="0"/>
          <w:trHeight w:hRule="auto" w:val="0"/>
        </w:trPr>
        <w:tc>
          <w:tcPr>
            <w:tcW w:w="1667" w:type="pct"/>
            <w:tcBorders>
              <w:top w:val="single" w:sz="4" w:space="0" w:color="000000"/>
              <w:left w:val="single" w:sz="4" w:space="0" w:color="000000"/>
              <w:bottom w:val="single" w:sz="4" w:space="0" w:color="000000"/>
              <w:right w:val="single" w:sz="4" w:space="0" w:color="000000"/>
            </w:tcBorders>
            <w:tcMar>
              <w:top w:w="20" w:type="dxa"/>
              <w:left w:w="120" w:type="dxa"/>
              <w:bottom w:w="120" w:type="dxa"/>
              <w:right w:w="120" w:type="dxa"/>
            </w:tcMar>
            <w:vAlign w:val="bottom"/>
          </w:tcPr>
          <w:p w:rsidR="00A77B3E">
            <w:pPr>
              <w:spacing w:before="100" w:after="0"/>
              <w:jc w:val="left"/>
              <w:rPr>
                <w:rFonts w:ascii="Times New Roman" w:eastAsia="Times New Roman" w:hAnsi="Times New Roman" w:cs="Times New Roman"/>
                <w:b w:val="0"/>
                <w:i w:val="0"/>
                <w:vanish w:val="0"/>
                <w:color w:val="000000"/>
                <w:sz w:val="24"/>
                <w:vertAlign w:val="baseline"/>
              </w:rPr>
            </w:pPr>
          </w:p>
        </w:tc>
      </w:tr>
    </w:tbl>
    <w:p w:rsidR="00A77B3E">
      <w:pPr>
        <w:pStyle w:val="Heading4"/>
        <w:spacing w:before="100" w:after="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br w:type="page"/>
      </w:r>
      <w:bookmarkStart w:id="47" w:name="_Toc256000102"/>
      <w:r>
        <w:rPr>
          <w:rFonts w:ascii="Times New Roman" w:eastAsia="Times New Roman" w:hAnsi="Times New Roman" w:cs="Times New Roman"/>
          <w:b w:val="0"/>
          <w:i w:val="0"/>
          <w:vanish w:val="0"/>
          <w:color w:val="000000"/>
          <w:sz w:val="24"/>
          <w:vertAlign w:val="baseline"/>
        </w:rPr>
        <w:t>4. Pojasnite, kako ste zagotovili, da so bili v izračun standardnih stroškov na enoto, pavšalnega zneska ali pavšalne stopnje vključeni le upravičeni izdatki.</w:t>
      </w:r>
      <w:bookmarkEnd w:id="47"/>
    </w:p>
    <w:p w:rsidR="00A77B3E">
      <w:pPr>
        <w:spacing w:before="100" w:after="0"/>
        <w:jc w:val="left"/>
        <w:rPr>
          <w:rFonts w:ascii="Times New Roman" w:eastAsia="Times New Roman" w:hAnsi="Times New Roman" w:cs="Times New Roman"/>
          <w:b w:val="0"/>
          <w:i w:val="0"/>
          <w:vanish w:val="0"/>
          <w:color w:val="000000"/>
          <w:sz w:val="12"/>
          <w:vertAlign w:val="baseline"/>
        </w:rPr>
      </w:pPr>
    </w:p>
    <w:tbl>
      <w:tblPr>
        <w:tblW w:w="4950" w:type="pct"/>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10385"/>
      </w:tblGrid>
      <w:tr>
        <w:tblPrEx>
          <w:tblW w:w="4950" w:type="pct"/>
          <w:tblInd w:w="80" w:type="dxa"/>
        </w:tblPrEx>
        <w:trPr>
          <w:cantSplit w:val="0"/>
          <w:trHeight w:hRule="auto" w:val="0"/>
        </w:trPr>
        <w:tc>
          <w:tcPr>
            <w:tcW w:w="1667" w:type="pct"/>
            <w:tcBorders>
              <w:top w:val="single" w:sz="4" w:space="0" w:color="000000"/>
              <w:left w:val="single" w:sz="4" w:space="0" w:color="000000"/>
              <w:bottom w:val="single" w:sz="4" w:space="0" w:color="000000"/>
              <w:right w:val="single" w:sz="4" w:space="0" w:color="000000"/>
            </w:tcBorders>
            <w:tcMar>
              <w:top w:w="20" w:type="dxa"/>
              <w:left w:w="120" w:type="dxa"/>
              <w:bottom w:w="120" w:type="dxa"/>
              <w:right w:w="120" w:type="dxa"/>
            </w:tcMar>
            <w:vAlign w:val="bottom"/>
          </w:tcPr>
          <w:p w:rsidR="00A77B3E">
            <w:pPr>
              <w:spacing w:before="100" w:after="0"/>
              <w:jc w:val="left"/>
              <w:rPr>
                <w:rFonts w:ascii="Times New Roman" w:eastAsia="Times New Roman" w:hAnsi="Times New Roman" w:cs="Times New Roman"/>
                <w:b w:val="0"/>
                <w:i w:val="0"/>
                <w:vanish w:val="0"/>
                <w:color w:val="000000"/>
                <w:sz w:val="24"/>
                <w:vertAlign w:val="baseline"/>
              </w:rPr>
            </w:pPr>
          </w:p>
        </w:tc>
      </w:tr>
    </w:tbl>
    <w:p w:rsidR="00A77B3E">
      <w:pPr>
        <w:pStyle w:val="Heading4"/>
        <w:spacing w:before="100" w:after="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br w:type="page"/>
      </w:r>
      <w:bookmarkStart w:id="48" w:name="_Toc256000103"/>
      <w:r>
        <w:rPr>
          <w:rFonts w:ascii="Times New Roman" w:eastAsia="Times New Roman" w:hAnsi="Times New Roman" w:cs="Times New Roman"/>
          <w:b w:val="0"/>
          <w:i w:val="0"/>
          <w:vanish w:val="0"/>
          <w:color w:val="000000"/>
          <w:sz w:val="24"/>
          <w:vertAlign w:val="baseline"/>
        </w:rPr>
        <w:t>5. Ocena revizijskega organa v zvezi z metodologijo za izračun in zneski ter ureditvijo za zagotovitev potrjevanja, kakovosti, zbiranja in shranjevanja podatkov.</w:t>
      </w:r>
      <w:bookmarkEnd w:id="48"/>
    </w:p>
    <w:p w:rsidR="00A77B3E">
      <w:pPr>
        <w:spacing w:before="100" w:after="0"/>
        <w:jc w:val="left"/>
        <w:rPr>
          <w:rFonts w:ascii="Times New Roman" w:eastAsia="Times New Roman" w:hAnsi="Times New Roman" w:cs="Times New Roman"/>
          <w:b w:val="0"/>
          <w:i w:val="0"/>
          <w:vanish w:val="0"/>
          <w:color w:val="000000"/>
          <w:sz w:val="12"/>
          <w:vertAlign w:val="baseline"/>
        </w:rPr>
      </w:pPr>
    </w:p>
    <w:tbl>
      <w:tblPr>
        <w:tblW w:w="4950" w:type="pct"/>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10385"/>
      </w:tblGrid>
      <w:tr>
        <w:tblPrEx>
          <w:tblW w:w="4950" w:type="pct"/>
          <w:tblInd w:w="80" w:type="dxa"/>
        </w:tblPrEx>
        <w:trPr>
          <w:cantSplit w:val="0"/>
          <w:trHeight w:hRule="auto" w:val="0"/>
        </w:trPr>
        <w:tc>
          <w:tcPr>
            <w:tcW w:w="1667" w:type="pct"/>
            <w:tcBorders>
              <w:top w:val="single" w:sz="4" w:space="0" w:color="000000"/>
              <w:left w:val="single" w:sz="4" w:space="0" w:color="000000"/>
              <w:bottom w:val="single" w:sz="4" w:space="0" w:color="000000"/>
              <w:right w:val="single" w:sz="4" w:space="0" w:color="000000"/>
            </w:tcBorders>
            <w:tcMar>
              <w:top w:w="20" w:type="dxa"/>
              <w:left w:w="120" w:type="dxa"/>
              <w:bottom w:w="120" w:type="dxa"/>
              <w:right w:w="120" w:type="dxa"/>
            </w:tcMar>
            <w:vAlign w:val="bottom"/>
          </w:tcPr>
          <w:p w:rsidR="00A77B3E">
            <w:pPr>
              <w:spacing w:before="100" w:after="0"/>
              <w:jc w:val="left"/>
              <w:rPr>
                <w:rFonts w:ascii="Times New Roman" w:eastAsia="Times New Roman" w:hAnsi="Times New Roman" w:cs="Times New Roman"/>
                <w:b w:val="0"/>
                <w:i w:val="0"/>
                <w:vanish w:val="0"/>
                <w:color w:val="000000"/>
                <w:sz w:val="24"/>
                <w:vertAlign w:val="baseline"/>
              </w:rPr>
            </w:pPr>
          </w:p>
        </w:tc>
      </w:tr>
    </w:tbl>
    <w:p w:rsidR="00A77B3E">
      <w:pPr>
        <w:spacing w:before="100" w:after="0"/>
        <w:jc w:val="left"/>
        <w:rPr>
          <w:rFonts w:ascii="Times New Roman" w:eastAsia="Times New Roman" w:hAnsi="Times New Roman" w:cs="Times New Roman"/>
          <w:b w:val="0"/>
          <w:i w:val="0"/>
          <w:vanish w:val="0"/>
          <w:color w:val="000000"/>
          <w:sz w:val="24"/>
          <w:vertAlign w:val="baseline"/>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orient="portrait"/>
          <w:pgMar w:top="720" w:right="936" w:bottom="864" w:left="720" w:header="0" w:footer="72" w:gutter="0"/>
          <w:cols w:space="708"/>
          <w:noEndnote/>
          <w:docGrid w:linePitch="360"/>
        </w:sectPr>
      </w:pPr>
    </w:p>
    <w:p w:rsidR="00A77B3E">
      <w:pPr>
        <w:pStyle w:val="Heading1"/>
        <w:spacing w:before="100" w:after="0"/>
        <w:jc w:val="left"/>
        <w:rPr>
          <w:rFonts w:ascii="Times New Roman" w:eastAsia="Times New Roman" w:hAnsi="Times New Roman" w:cs="Times New Roman"/>
          <w:b w:val="0"/>
          <w:i w:val="0"/>
          <w:vanish w:val="0"/>
          <w:color w:val="000000"/>
          <w:sz w:val="24"/>
          <w:vertAlign w:val="baseline"/>
        </w:rPr>
      </w:pPr>
      <w:bookmarkStart w:id="49" w:name="_Toc256000104"/>
      <w:r>
        <w:rPr>
          <w:rFonts w:ascii="Times New Roman" w:eastAsia="Times New Roman" w:hAnsi="Times New Roman" w:cs="Times New Roman"/>
          <w:b w:val="0"/>
          <w:i w:val="0"/>
          <w:vanish w:val="0"/>
          <w:color w:val="000000"/>
          <w:sz w:val="24"/>
          <w:vertAlign w:val="baseline"/>
        </w:rPr>
        <w:t>Dodatek 2: Prispevek Unije, temelječ na financiranju, ki ni povezano s stroški</w:t>
      </w:r>
      <w:bookmarkEnd w:id="49"/>
    </w:p>
    <w:p w:rsidR="00A77B3E">
      <w:pPr>
        <w:pStyle w:val="Heading2"/>
        <w:spacing w:before="100" w:after="0"/>
        <w:jc w:val="left"/>
        <w:rPr>
          <w:rFonts w:ascii="Times New Roman" w:eastAsia="Times New Roman" w:hAnsi="Times New Roman" w:cs="Times New Roman"/>
          <w:b w:val="0"/>
          <w:i w:val="0"/>
          <w:vanish w:val="0"/>
          <w:color w:val="000000"/>
          <w:sz w:val="24"/>
          <w:vertAlign w:val="baseline"/>
        </w:rPr>
      </w:pPr>
      <w:bookmarkStart w:id="50" w:name="_Toc256000105"/>
      <w:r>
        <w:rPr>
          <w:rFonts w:ascii="Times New Roman" w:eastAsia="Times New Roman" w:hAnsi="Times New Roman" w:cs="Times New Roman"/>
          <w:b w:val="0"/>
          <w:i w:val="0"/>
          <w:vanish w:val="0"/>
          <w:color w:val="000000"/>
          <w:sz w:val="24"/>
          <w:vertAlign w:val="baseline"/>
        </w:rPr>
        <w:t>A. Povzetek glavnih elementov</w:t>
      </w:r>
      <w:bookmarkEnd w:id="50"/>
    </w:p>
    <w:p w:rsidR="00A77B3E">
      <w:pPr>
        <w:spacing w:before="100" w:after="0"/>
        <w:jc w:val="left"/>
        <w:rPr>
          <w:rFonts w:ascii="Times New Roman" w:eastAsia="Times New Roman" w:hAnsi="Times New Roman" w:cs="Times New Roman"/>
          <w:b w:val="0"/>
          <w:i w:val="0"/>
          <w:vanish w:val="0"/>
          <w:color w:val="000000"/>
          <w:sz w:val="12"/>
          <w:vertAlign w:val="baselin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2000"/>
        <w:gridCol w:w="1500"/>
        <w:gridCol w:w="1200"/>
        <w:gridCol w:w="1500"/>
        <w:gridCol w:w="1800"/>
        <w:gridCol w:w="1500"/>
        <w:gridCol w:w="1500"/>
        <w:gridCol w:w="1500"/>
        <w:gridCol w:w="2000"/>
      </w:tblGrid>
      <w:tr>
        <w:tblPrEx>
          <w:tblW w:w="5000" w:type="pct"/>
        </w:tblPrEx>
        <w:trPr>
          <w:cantSplit w:val="0"/>
          <w:trHeight w:hRule="auto" w:val="0"/>
          <w:tblHeader/>
        </w:trPr>
        <w:tc>
          <w:tcPr>
            <w:tcW w:w="2000" w:type="dxa"/>
            <w:vMerge w:val="restar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12"/>
                <w:vertAlign w:val="baseline"/>
              </w:rPr>
            </w:pPr>
            <w:r>
              <w:rPr>
                <w:rFonts w:ascii="Times New Roman" w:eastAsia="Times New Roman" w:hAnsi="Times New Roman" w:cs="Times New Roman"/>
                <w:b w:val="0"/>
                <w:i w:val="0"/>
                <w:vanish w:val="0"/>
                <w:color w:val="000000"/>
                <w:sz w:val="12"/>
                <w:vertAlign w:val="baseline"/>
              </w:rPr>
              <w:t>Specifični cilj</w:t>
            </w:r>
          </w:p>
        </w:tc>
        <w:tc>
          <w:tcPr>
            <w:tcW w:w="1500" w:type="dxa"/>
            <w:vMerge w:val="restar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12"/>
                <w:vertAlign w:val="baseline"/>
              </w:rPr>
            </w:pPr>
            <w:r>
              <w:rPr>
                <w:rFonts w:ascii="Times New Roman" w:eastAsia="Times New Roman" w:hAnsi="Times New Roman" w:cs="Times New Roman"/>
                <w:b w:val="0"/>
                <w:i w:val="0"/>
                <w:vanish w:val="0"/>
                <w:color w:val="000000"/>
                <w:sz w:val="12"/>
                <w:vertAlign w:val="baseline"/>
              </w:rPr>
              <w:t>Znesek, zajet s financiranjem, ki ni povezano s stroški</w:t>
            </w:r>
          </w:p>
        </w:tc>
        <w:tc>
          <w:tcPr>
            <w:tcW w:w="2700" w:type="dxa"/>
            <w:gridSpan w:val="2"/>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12"/>
                <w:vertAlign w:val="baseline"/>
              </w:rPr>
            </w:pPr>
            <w:r>
              <w:rPr>
                <w:rFonts w:ascii="Times New Roman" w:eastAsia="Times New Roman" w:hAnsi="Times New Roman" w:cs="Times New Roman"/>
                <w:b w:val="0"/>
                <w:i w:val="0"/>
                <w:vanish w:val="0"/>
                <w:color w:val="000000"/>
                <w:sz w:val="12"/>
                <w:vertAlign w:val="baseline"/>
              </w:rPr>
              <w:t>Vrste zajetih operacij</w:t>
            </w:r>
          </w:p>
        </w:tc>
        <w:tc>
          <w:tcPr>
            <w:tcW w:w="1800" w:type="dxa"/>
            <w:vMerge w:val="restar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12"/>
                <w:vertAlign w:val="baseline"/>
              </w:rPr>
            </w:pPr>
            <w:r>
              <w:rPr>
                <w:rFonts w:ascii="Times New Roman" w:eastAsia="Times New Roman" w:hAnsi="Times New Roman" w:cs="Times New Roman"/>
                <w:b w:val="0"/>
                <w:i w:val="0"/>
                <w:vanish w:val="0"/>
                <w:color w:val="000000"/>
                <w:sz w:val="12"/>
                <w:vertAlign w:val="baseline"/>
              </w:rPr>
              <w:t>Pogoji, ki jih je treba izpolniti/rezultati, ki jih je treba doseči, da Komisija izplača povračilo</w:t>
            </w:r>
          </w:p>
        </w:tc>
        <w:tc>
          <w:tcPr>
            <w:tcW w:w="3000" w:type="dxa"/>
            <w:gridSpan w:val="2"/>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12"/>
                <w:vertAlign w:val="baseline"/>
              </w:rPr>
            </w:pPr>
            <w:r>
              <w:rPr>
                <w:rFonts w:ascii="Times New Roman" w:eastAsia="Times New Roman" w:hAnsi="Times New Roman" w:cs="Times New Roman"/>
                <w:b w:val="0"/>
                <w:i w:val="0"/>
                <w:vanish w:val="0"/>
                <w:color w:val="000000"/>
                <w:sz w:val="12"/>
                <w:vertAlign w:val="baseline"/>
              </w:rPr>
              <w:t>Kazalniki</w:t>
            </w:r>
          </w:p>
        </w:tc>
        <w:tc>
          <w:tcPr>
            <w:tcW w:w="1500" w:type="dxa"/>
            <w:vMerge w:val="restar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12"/>
                <w:vertAlign w:val="baseline"/>
              </w:rPr>
            </w:pPr>
            <w:r>
              <w:rPr>
                <w:rFonts w:ascii="Times New Roman" w:eastAsia="Times New Roman" w:hAnsi="Times New Roman" w:cs="Times New Roman"/>
                <w:b w:val="0"/>
                <w:i w:val="0"/>
                <w:vanish w:val="0"/>
                <w:color w:val="000000"/>
                <w:sz w:val="12"/>
                <w:vertAlign w:val="baseline"/>
              </w:rPr>
              <w:t>Merska enota za pogoje, ki jih je treba izpolniti/rezultate, ki jih je treba doseči za povračilo s strani Evropske komisije</w:t>
            </w:r>
          </w:p>
        </w:tc>
        <w:tc>
          <w:tcPr>
            <w:tcW w:w="2000" w:type="dxa"/>
            <w:vMerge w:val="restar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12"/>
                <w:vertAlign w:val="baseline"/>
              </w:rPr>
            </w:pPr>
            <w:r>
              <w:rPr>
                <w:rFonts w:ascii="Times New Roman" w:eastAsia="Times New Roman" w:hAnsi="Times New Roman" w:cs="Times New Roman"/>
                <w:b w:val="0"/>
                <w:i w:val="0"/>
                <w:vanish w:val="0"/>
                <w:color w:val="000000"/>
                <w:sz w:val="12"/>
                <w:vertAlign w:val="baseline"/>
              </w:rPr>
              <w:t>Načrtovana vrsta metode, ki se uporabi za povračila upravičencu (upravičencem)</w:t>
            </w:r>
          </w:p>
        </w:tc>
      </w:tr>
      <w:tr>
        <w:tblPrEx>
          <w:tblW w:w="5000" w:type="pct"/>
        </w:tblPrEx>
        <w:trPr>
          <w:cantSplit w:val="0"/>
          <w:trHeight w:hRule="auto" w:val="0"/>
          <w:tblHeader/>
        </w:trPr>
        <w:tc>
          <w:tcPr>
            <w:tcW w:w="2000" w:type="dxa"/>
            <w:vMerge/>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12"/>
                <w:vertAlign w:val="baseline"/>
              </w:rPr>
            </w:pPr>
          </w:p>
        </w:tc>
        <w:tc>
          <w:tcPr>
            <w:tcW w:w="1500" w:type="dxa"/>
            <w:vMerge/>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12"/>
                <w:vertAlign w:val="baseline"/>
              </w:rPr>
            </w:pPr>
          </w:p>
        </w:tc>
        <w:tc>
          <w:tcPr>
            <w:tcW w:w="12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12"/>
                <w:vertAlign w:val="baseline"/>
              </w:rPr>
            </w:pPr>
            <w:r>
              <w:rPr>
                <w:rFonts w:ascii="Times New Roman" w:eastAsia="Times New Roman" w:hAnsi="Times New Roman" w:cs="Times New Roman"/>
                <w:b w:val="0"/>
                <w:i w:val="0"/>
                <w:vanish w:val="0"/>
                <w:color w:val="000000"/>
                <w:sz w:val="12"/>
                <w:vertAlign w:val="baseline"/>
              </w:rPr>
              <w:t>Oznaka(1)</w:t>
            </w:r>
          </w:p>
        </w:tc>
        <w:tc>
          <w:tcPr>
            <w:tcW w:w="15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12"/>
                <w:vertAlign w:val="baseline"/>
              </w:rPr>
            </w:pPr>
            <w:r>
              <w:rPr>
                <w:rFonts w:ascii="Times New Roman" w:eastAsia="Times New Roman" w:hAnsi="Times New Roman" w:cs="Times New Roman"/>
                <w:b w:val="0"/>
                <w:i w:val="0"/>
                <w:vanish w:val="0"/>
                <w:color w:val="000000"/>
                <w:sz w:val="12"/>
                <w:vertAlign w:val="baseline"/>
              </w:rPr>
              <w:t>Opis</w:t>
            </w:r>
          </w:p>
        </w:tc>
        <w:tc>
          <w:tcPr>
            <w:tcW w:w="1800" w:type="dxa"/>
            <w:vMerge/>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12"/>
                <w:vertAlign w:val="baseline"/>
              </w:rPr>
            </w:pPr>
          </w:p>
        </w:tc>
        <w:tc>
          <w:tcPr>
            <w:tcW w:w="15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12"/>
                <w:vertAlign w:val="baseline"/>
              </w:rPr>
            </w:pPr>
            <w:r>
              <w:rPr>
                <w:rFonts w:ascii="Times New Roman" w:eastAsia="Times New Roman" w:hAnsi="Times New Roman" w:cs="Times New Roman"/>
                <w:b w:val="0"/>
                <w:i w:val="0"/>
                <w:vanish w:val="0"/>
                <w:color w:val="000000"/>
                <w:sz w:val="12"/>
                <w:vertAlign w:val="baseline"/>
              </w:rPr>
              <w:t>Oznaka(2)</w:t>
            </w:r>
          </w:p>
        </w:tc>
        <w:tc>
          <w:tcPr>
            <w:tcW w:w="15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12"/>
                <w:vertAlign w:val="baseline"/>
              </w:rPr>
            </w:pPr>
            <w:r>
              <w:rPr>
                <w:rFonts w:ascii="Times New Roman" w:eastAsia="Times New Roman" w:hAnsi="Times New Roman" w:cs="Times New Roman"/>
                <w:b w:val="0"/>
                <w:i w:val="0"/>
                <w:vanish w:val="0"/>
                <w:color w:val="000000"/>
                <w:sz w:val="12"/>
                <w:vertAlign w:val="baseline"/>
              </w:rPr>
              <w:t>Opis</w:t>
            </w:r>
          </w:p>
        </w:tc>
        <w:tc>
          <w:tcPr>
            <w:tcW w:w="1500" w:type="dxa"/>
            <w:vMerge/>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12"/>
                <w:vertAlign w:val="baseline"/>
              </w:rPr>
            </w:pPr>
          </w:p>
        </w:tc>
        <w:tc>
          <w:tcPr>
            <w:tcW w:w="2000" w:type="dxa"/>
            <w:vMerge/>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12"/>
                <w:vertAlign w:val="baseline"/>
              </w:rPr>
            </w:pPr>
          </w:p>
        </w:tc>
      </w:tr>
    </w:tbl>
    <w:p w:rsidR="00A77B3E">
      <w:pPr>
        <w:spacing w:before="100" w:after="0"/>
        <w:jc w:val="left"/>
        <w:rPr>
          <w:rFonts w:ascii="Times New Roman" w:eastAsia="Times New Roman" w:hAnsi="Times New Roman" w:cs="Times New Roman"/>
          <w:b w:val="0"/>
          <w:i w:val="0"/>
          <w:vanish w:val="0"/>
          <w:color w:val="000000"/>
          <w:sz w:val="12"/>
          <w:vertAlign w:val="baseline"/>
        </w:rPr>
      </w:pPr>
      <w:r>
        <w:rPr>
          <w:rFonts w:ascii="Times New Roman" w:eastAsia="Times New Roman" w:hAnsi="Times New Roman" w:cs="Times New Roman"/>
          <w:b w:val="0"/>
          <w:i w:val="0"/>
          <w:vanish w:val="0"/>
          <w:color w:val="000000"/>
          <w:sz w:val="12"/>
          <w:vertAlign w:val="baseline"/>
        </w:rPr>
        <w:t>(1) To se nanaša na kodo v Prilogi VI uredb o AMIF, IUMV in SNV.</w:t>
      </w:r>
    </w:p>
    <w:p w:rsidR="00A77B3E">
      <w:pPr>
        <w:spacing w:before="100" w:after="0"/>
        <w:jc w:val="left"/>
        <w:rPr>
          <w:rFonts w:ascii="Times New Roman" w:eastAsia="Times New Roman" w:hAnsi="Times New Roman" w:cs="Times New Roman"/>
          <w:b w:val="0"/>
          <w:i w:val="0"/>
          <w:vanish w:val="0"/>
          <w:color w:val="000000"/>
          <w:sz w:val="12"/>
          <w:vertAlign w:val="baseline"/>
        </w:rPr>
      </w:pPr>
      <w:r>
        <w:rPr>
          <w:rFonts w:ascii="Times New Roman" w:eastAsia="Times New Roman" w:hAnsi="Times New Roman" w:cs="Times New Roman"/>
          <w:b w:val="0"/>
          <w:i w:val="0"/>
          <w:vanish w:val="0"/>
          <w:color w:val="000000"/>
          <w:sz w:val="12"/>
          <w:vertAlign w:val="baseline"/>
        </w:rPr>
        <w:t>(2) To se nanaša na kodo skupnega kazalnika, če je ustrezno.</w:t>
      </w:r>
    </w:p>
    <w:p w:rsidR="00A77B3E">
      <w:pPr>
        <w:spacing w:before="100" w:after="0"/>
        <w:jc w:val="left"/>
        <w:rPr>
          <w:rFonts w:ascii="Times New Roman" w:eastAsia="Times New Roman" w:hAnsi="Times New Roman" w:cs="Times New Roman"/>
          <w:b w:val="0"/>
          <w:i w:val="0"/>
          <w:vanish w:val="0"/>
          <w:color w:val="000000"/>
          <w:sz w:val="12"/>
          <w:vertAlign w:val="baseline"/>
        </w:rPr>
        <w:sectPr>
          <w:headerReference w:type="even" r:id="rId88"/>
          <w:headerReference w:type="default" r:id="rId89"/>
          <w:footerReference w:type="even" r:id="rId90"/>
          <w:footerReference w:type="default" r:id="rId91"/>
          <w:headerReference w:type="first" r:id="rId92"/>
          <w:footerReference w:type="first" r:id="rId93"/>
          <w:type w:val="nextPage"/>
          <w:pgSz w:w="16838" w:h="11906" w:orient="landscape"/>
          <w:pgMar w:top="720" w:right="720" w:bottom="864" w:left="936" w:header="288" w:footer="72" w:gutter="0"/>
          <w:cols w:space="708"/>
          <w:noEndnote/>
          <w:docGrid w:linePitch="360"/>
        </w:sectPr>
      </w:pPr>
    </w:p>
    <w:p w:rsidR="00A77B3E">
      <w:pPr>
        <w:pStyle w:val="Heading2"/>
        <w:spacing w:before="100" w:after="0"/>
        <w:jc w:val="left"/>
        <w:rPr>
          <w:rFonts w:ascii="TimesNewRoman" w:eastAsia="TimesNewRoman" w:hAnsi="TimesNewRoman" w:cs="TimesNewRoman"/>
          <w:b w:val="0"/>
          <w:i w:val="0"/>
          <w:vanish w:val="0"/>
          <w:color w:val="000000"/>
          <w:sz w:val="24"/>
          <w:vertAlign w:val="baseline"/>
        </w:rPr>
      </w:pPr>
      <w:bookmarkStart w:id="51" w:name="_Toc256000106"/>
      <w:r>
        <w:rPr>
          <w:rFonts w:ascii="TimesNewRoman" w:eastAsia="TimesNewRoman" w:hAnsi="TimesNewRoman" w:cs="TimesNewRoman"/>
          <w:b w:val="0"/>
          <w:i w:val="0"/>
          <w:vanish w:val="0"/>
          <w:color w:val="000000"/>
          <w:sz w:val="24"/>
          <w:vertAlign w:val="baseline"/>
        </w:rPr>
        <w:t>B. Podrobnosti glede na vrsto operacije</w:t>
      </w:r>
      <w:bookmarkEnd w:id="51"/>
    </w:p>
    <w:p w:rsidR="00A77B3E">
      <w:pPr>
        <w:spacing w:before="100" w:after="0"/>
        <w:jc w:val="left"/>
        <w:rPr>
          <w:rFonts w:ascii="TimesNewRoman" w:eastAsia="TimesNewRoman" w:hAnsi="TimesNewRoman" w:cs="TimesNewRoman"/>
          <w:b w:val="0"/>
          <w:i w:val="0"/>
          <w:vanish w:val="0"/>
          <w:color w:val="000000"/>
          <w:sz w:val="24"/>
          <w:vertAlign w:val="baseline"/>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orient="portrait"/>
          <w:pgMar w:top="720" w:right="936" w:bottom="864" w:left="720" w:header="0" w:footer="72" w:gutter="0"/>
          <w:cols w:space="708"/>
          <w:noEndnote/>
          <w:docGrid w:linePitch="360"/>
        </w:sectPr>
      </w:pPr>
    </w:p>
    <w:p w:rsidR="00A77B3E">
      <w:pPr>
        <w:pStyle w:val="Heading1"/>
        <w:spacing w:before="100" w:after="0"/>
        <w:jc w:val="left"/>
        <w:rPr>
          <w:rFonts w:ascii="TimesNewRoman" w:eastAsia="TimesNewRoman" w:hAnsi="TimesNewRoman" w:cs="TimesNewRoman"/>
          <w:b w:val="0"/>
          <w:i w:val="0"/>
          <w:vanish w:val="0"/>
          <w:color w:val="000000"/>
          <w:sz w:val="24"/>
          <w:vertAlign w:val="baseline"/>
        </w:rPr>
      </w:pPr>
      <w:bookmarkStart w:id="52" w:name="_Toc256000107"/>
      <w:r>
        <w:rPr>
          <w:rFonts w:ascii="TimesNewRoman" w:eastAsia="TimesNewRoman" w:hAnsi="TimesNewRoman" w:cs="TimesNewRoman"/>
          <w:b w:val="0"/>
          <w:i w:val="0"/>
          <w:vanish w:val="0"/>
          <w:color w:val="000000"/>
          <w:sz w:val="24"/>
          <w:vertAlign w:val="baseline"/>
        </w:rPr>
        <w:t>Dodatek 3</w:t>
      </w:r>
      <w:bookmarkEnd w:id="52"/>
    </w:p>
    <w:p w:rsidR="00A77B3E">
      <w:pPr>
        <w:pStyle w:val="Heading2"/>
        <w:spacing w:before="100" w:after="0"/>
        <w:jc w:val="left"/>
        <w:rPr>
          <w:rFonts w:ascii="TimesNewRoman" w:eastAsia="TimesNewRoman" w:hAnsi="TimesNewRoman" w:cs="TimesNewRoman"/>
          <w:b w:val="0"/>
          <w:i w:val="0"/>
          <w:vanish w:val="0"/>
          <w:color w:val="000000"/>
          <w:sz w:val="24"/>
          <w:vertAlign w:val="baseline"/>
        </w:rPr>
      </w:pPr>
      <w:bookmarkStart w:id="53" w:name="_Toc256000108"/>
      <w:r>
        <w:rPr>
          <w:rFonts w:ascii="TimesNewRoman" w:eastAsia="TimesNewRoman" w:hAnsi="TimesNewRoman" w:cs="TimesNewRoman"/>
          <w:b w:val="0"/>
          <w:i w:val="0"/>
          <w:vanish w:val="0"/>
          <w:color w:val="000000"/>
          <w:sz w:val="24"/>
          <w:vertAlign w:val="baseline"/>
        </w:rPr>
        <w:t>Tematski instrument (člen 11 uredbe o AMIF, člen 8 uredbe o IUMV, člen 8 uredbe o SNV)</w:t>
      </w:r>
      <w:bookmarkEnd w:id="53"/>
    </w:p>
    <w:p w:rsidR="00A77B3E">
      <w:pPr>
        <w:spacing w:before="100" w:after="0"/>
        <w:jc w:val="left"/>
        <w:rPr>
          <w:rFonts w:ascii="TimesNewRoman" w:eastAsia="TimesNewRoman" w:hAnsi="TimesNewRoman" w:cs="TimesNewRoman"/>
          <w:b w:val="0"/>
          <w:i w:val="0"/>
          <w:vanish w:val="0"/>
          <w:color w:val="000000"/>
          <w:sz w:val="12"/>
          <w:vertAlign w:val="baselin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4535"/>
        <w:gridCol w:w="2905"/>
        <w:gridCol w:w="1861"/>
        <w:gridCol w:w="4088"/>
        <w:gridCol w:w="1913"/>
      </w:tblGrid>
      <w:tr>
        <w:tblPrEx>
          <w:tblW w:w="5000" w:type="pct"/>
        </w:tblPrEx>
        <w:trPr>
          <w:cantSplit w:val="0"/>
          <w:trHeight w:hRule="auto"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Sklic na postopek</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Različica programa</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Status</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Datum sprejema/zavrnitve</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Opombe</w:t>
            </w:r>
          </w:p>
        </w:tc>
      </w:tr>
      <w:tr>
        <w:tblPrEx>
          <w:tblW w:w="5000" w:type="pct"/>
        </w:tblPrEx>
        <w:trPr>
          <w:cantSplit w:val="0"/>
          <w:trHeight w:hRule="auto"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C(2021)8460 - 26. nov. 2021 - 1</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1.1</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Sprejeto</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12. avg. 2022</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vertAlign w:val="baseline"/>
              </w:rPr>
            </w:pPr>
          </w:p>
        </w:tc>
      </w:tr>
      <w:tr>
        <w:tblPrEx>
          <w:tblW w:w="5000" w:type="pct"/>
        </w:tblPrEx>
        <w:trPr>
          <w:cantSplit w:val="0"/>
          <w:trHeight w:hRule="auto" w:val="0"/>
        </w:trPr>
        <w:tc>
          <w:tcPr>
            <w:gridSpan w:val="5"/>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0"/>
                <w:vertAlign w:val="baselin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2064"/>
              <w:gridCol w:w="738"/>
              <w:gridCol w:w="971"/>
              <w:gridCol w:w="856"/>
              <w:gridCol w:w="1276"/>
              <w:gridCol w:w="9267"/>
            </w:tblGrid>
            <w:tr>
              <w:tblPrEx>
                <w:tblW w:w="5000" w:type="pct"/>
              </w:tblPrEx>
              <w:trPr>
                <w:cantSplit w:val="0"/>
                <w:trHeight w:hRule="auto"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Specifični cilj</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Način</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Vrsta intervencije</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Prispevek Unije</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Stopnja predhodnega financiranja</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Opis ukrepa</w:t>
                  </w:r>
                </w:p>
              </w:tc>
            </w:tr>
            <w:tr>
              <w:tblPrEx>
                <w:tblW w:w="5000" w:type="pct"/>
              </w:tblPrEx>
              <w:trPr>
                <w:cantSplit w:val="0"/>
                <w:trHeight w:hRule="auto"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2. Čezmejno sodelovanje</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Posebni ukrepi</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 xml:space="preserve"> </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54.000,00</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vertAlign w:val="baseline"/>
                    </w:rPr>
                  </w:pP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ISF/2022/SA/2.2.1/012 EMPACT EUR 54.000,00</w:t>
                  </w:r>
                </w:p>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 xml:space="preserve">The objective of this specific action is to develop complex and long-term EMPACT activities and actions, laid down in the operational action plans (OAPs) and implementing one or more common horizontal strategic goals (CHSGs) contained in the EMPACT multi-annual strategic plan (MASP) designed for the EMPACT cycle 2022-2025 (reference: Council document 10109/21 of 23 June 2021 (EU LIMITE). </w:t>
                  </w:r>
                </w:p>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Spain is carrying out the project CCH - EUROPEAN OPERATIONAL TEAM Costa del Sol, mainly related to EMPACT CCH (Cannabis/Cocaine/Heroin), but also to EMPACT HRCN (High-Risk Criminal Networks), covering strategic goals n°1, 2, 3, 4 and 8.</w:t>
                  </w:r>
                </w:p>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The project partnership is composed of Spain, Bulgaria, Estonia, Finland, France, the Netherlands, Lithuania, Latvia, Poland, Portugal, Romania, Sweden, Slovenia, Denmark, Iceland, Norway, Serbia, UK, USA, Frontex and Europol. The Pilot Project is meant to establish a European Operational Team (EOT) in the Spanish region ‘Costa del Sol’, to develop and implement a joint investigative and operational strategy against the main criminal organisations and related High Value Targets (HVTs) affecting the EU Member States from the region. The activity of the EOT will be primarily aimed at identifying, investigating and dismantling HVTs and related organised criminal networks. The selection of HVTs and the establishment of related Operational Task Force (OTF) will be carried out in accordance with Standard Operating Procedure developed jointly by the EU Member States and Europol.</w:t>
                  </w:r>
                </w:p>
              </w:tc>
            </w:tr>
            <w:tr>
              <w:tblPrEx>
                <w:tblW w:w="5000" w:type="pct"/>
              </w:tblPrEx>
              <w:trPr>
                <w:cantSplit w:val="0"/>
                <w:trHeight w:hRule="auto"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TA.36(5). Tehnična pomoč – pavšalna stopnja (člen 36(5) uredbe o skupnih določbah)</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 xml:space="preserve"> </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 xml:space="preserve"> </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3.240,00</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vertAlign w:val="baseline"/>
                    </w:rPr>
                  </w:pP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TA</w:t>
                  </w:r>
                </w:p>
              </w:tc>
            </w:tr>
          </w:tbl>
          <w:p w:rsidR="00A77B3E">
            <w:pPr>
              <w:spacing w:before="100" w:after="0"/>
              <w:jc w:val="left"/>
              <w:rPr>
                <w:rFonts w:ascii="TimesNewRoman" w:eastAsia="TimesNewRoman" w:hAnsi="TimesNewRoman" w:cs="TimesNewRoman"/>
                <w:b w:val="0"/>
                <w:i w:val="0"/>
                <w:vanish w:val="0"/>
                <w:color w:val="000000"/>
                <w:sz w:val="16"/>
                <w:vertAlign w:val="baseline"/>
              </w:rPr>
            </w:pPr>
          </w:p>
        </w:tc>
      </w:tr>
    </w:tbl>
    <w:p w:rsidR="00A77B3E">
      <w:pPr>
        <w:spacing w:before="100" w:after="0"/>
        <w:jc w:val="left"/>
        <w:rPr>
          <w:rFonts w:ascii="TimesNewRoman" w:eastAsia="TimesNewRoman" w:hAnsi="TimesNewRoman" w:cs="TimesNewRoman"/>
          <w:b w:val="0"/>
          <w:i w:val="0"/>
          <w:vanish w:val="0"/>
          <w:color w:val="000000"/>
          <w:sz w:val="16"/>
          <w:vertAlign w:val="baseline"/>
        </w:rPr>
      </w:pPr>
    </w:p>
    <w:p w:rsidR="00A77B3E">
      <w:pPr>
        <w:spacing w:before="100" w:after="0"/>
        <w:jc w:val="left"/>
        <w:rPr>
          <w:rFonts w:ascii="TimesNewRoman" w:eastAsia="TimesNewRoman" w:hAnsi="TimesNewRoman" w:cs="TimesNewRoman"/>
          <w:b w:val="0"/>
          <w:i w:val="0"/>
          <w:vanish w:val="0"/>
          <w:color w:val="000000"/>
          <w:sz w:val="16"/>
          <w:vertAlign w:val="baseline"/>
        </w:rPr>
        <w:sectPr>
          <w:headerReference w:type="even" r:id="rId100"/>
          <w:headerReference w:type="default" r:id="rId101"/>
          <w:footerReference w:type="even" r:id="rId102"/>
          <w:footerReference w:type="default" r:id="rId103"/>
          <w:headerReference w:type="first" r:id="rId104"/>
          <w:footerReference w:type="first" r:id="rId105"/>
          <w:type w:val="nextPage"/>
          <w:pgSz w:w="16838" w:h="11906" w:orient="landscape"/>
          <w:pgMar w:top="720" w:right="720" w:bottom="864" w:left="936" w:header="288" w:footer="72" w:gutter="0"/>
          <w:cols w:space="708"/>
          <w:noEndnote/>
          <w:docGrid w:linePitch="360"/>
        </w:sectPr>
      </w:pPr>
    </w:p>
    <w:p w:rsidR="00A77B3E">
      <w:pPr>
        <w:pStyle w:val="Heading1"/>
        <w:spacing w:before="100" w:after="0"/>
        <w:jc w:val="left"/>
        <w:rPr>
          <w:rFonts w:ascii="TimesNewRoman" w:eastAsia="TimesNewRoman" w:hAnsi="TimesNewRoman" w:cs="TimesNewRoman"/>
          <w:b w:val="0"/>
          <w:i w:val="0"/>
          <w:vanish w:val="0"/>
          <w:color w:val="000000"/>
          <w:sz w:val="24"/>
          <w:vertAlign w:val="baseline"/>
        </w:rPr>
      </w:pPr>
      <w:bookmarkStart w:id="54" w:name="_Toc256000109"/>
      <w:r>
        <w:rPr>
          <w:rFonts w:ascii="TimesNewRoman" w:eastAsia="TimesNewRoman" w:hAnsi="TimesNewRoman" w:cs="TimesNewRoman"/>
          <w:b w:val="0"/>
          <w:i w:val="0"/>
          <w:vanish w:val="0"/>
          <w:color w:val="000000"/>
          <w:sz w:val="24"/>
          <w:vertAlign w:val="baseline"/>
        </w:rPr>
        <w:t>DOKUMENTI</w:t>
      </w:r>
      <w:bookmarkEnd w:id="54"/>
    </w:p>
    <w:p w:rsidR="00A77B3E">
      <w:pPr>
        <w:spacing w:before="100" w:after="0"/>
        <w:jc w:val="left"/>
        <w:rPr>
          <w:rFonts w:ascii="TimesNewRoman" w:eastAsia="TimesNewRoman" w:hAnsi="TimesNewRoman" w:cs="TimesNewRoman"/>
          <w:b w:val="0"/>
          <w:i w:val="0"/>
          <w:vanish w:val="0"/>
          <w:color w:val="000000"/>
          <w:sz w:val="12"/>
          <w:vertAlign w:val="baselin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2110"/>
        <w:gridCol w:w="2110"/>
        <w:gridCol w:w="1319"/>
        <w:gridCol w:w="2111"/>
        <w:gridCol w:w="2111"/>
        <w:gridCol w:w="2111"/>
        <w:gridCol w:w="1319"/>
        <w:gridCol w:w="2111"/>
      </w:tblGrid>
      <w:tr>
        <w:tblPrEx>
          <w:tblW w:w="5000" w:type="pct"/>
        </w:tblPrEx>
        <w:trPr>
          <w:cantSplit w:val="0"/>
          <w:trHeight w:val="240"/>
          <w:tblHeader/>
        </w:trPr>
        <w:tc>
          <w:tcPr>
            <w:tcW w:w="1600" w:type="dxa"/>
            <w:tcBorders>
              <w:top w:val="single" w:sz="4" w:space="0" w:color="000000"/>
              <w:left w:val="single" w:sz="4" w:space="0" w:color="000000"/>
              <w:bottom w:val="single" w:sz="4" w:space="0" w:color="000000"/>
              <w:right w:val="single" w:sz="4" w:space="0" w:color="000000"/>
            </w:tcBorders>
            <w:tcMar>
              <w:top w:w="0" w:type="dxa"/>
              <w:left w:w="60" w:type="dxa"/>
              <w:bottom w:w="10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16"/>
                <w:vertAlign w:val="baseline"/>
              </w:rPr>
            </w:pPr>
            <w:r>
              <w:rPr>
                <w:rFonts w:ascii="Times New Roman" w:eastAsia="Times New Roman" w:hAnsi="Times New Roman" w:cs="Times New Roman"/>
                <w:b w:val="0"/>
                <w:i w:val="0"/>
                <w:vanish w:val="0"/>
                <w:color w:val="000000"/>
                <w:sz w:val="16"/>
                <w:vertAlign w:val="baseline"/>
              </w:rPr>
              <w:t>Naslov dokumenta</w:t>
            </w:r>
          </w:p>
        </w:tc>
        <w:tc>
          <w:tcPr>
            <w:tcW w:w="1600" w:type="dxa"/>
            <w:tcBorders>
              <w:top w:val="single" w:sz="4" w:space="0" w:color="000000"/>
              <w:left w:val="single" w:sz="4" w:space="0" w:color="000000"/>
              <w:bottom w:val="single" w:sz="4" w:space="0" w:color="000000"/>
              <w:right w:val="single" w:sz="4" w:space="0" w:color="000000"/>
            </w:tcBorders>
            <w:tcMar>
              <w:top w:w="0" w:type="dxa"/>
              <w:left w:w="60" w:type="dxa"/>
              <w:bottom w:w="10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16"/>
                <w:vertAlign w:val="baseline"/>
              </w:rPr>
            </w:pPr>
            <w:r>
              <w:rPr>
                <w:rFonts w:ascii="Times New Roman" w:eastAsia="Times New Roman" w:hAnsi="Times New Roman" w:cs="Times New Roman"/>
                <w:b w:val="0"/>
                <w:i w:val="0"/>
                <w:vanish w:val="0"/>
                <w:color w:val="000000"/>
                <w:sz w:val="16"/>
                <w:vertAlign w:val="baseline"/>
              </w:rPr>
              <w:t>Vrsta dokumenta</w:t>
            </w:r>
          </w:p>
        </w:tc>
        <w:tc>
          <w:tcPr>
            <w:tcW w:w="1000" w:type="dxa"/>
            <w:tcBorders>
              <w:top w:val="single" w:sz="4" w:space="0" w:color="000000"/>
              <w:left w:val="single" w:sz="4" w:space="0" w:color="000000"/>
              <w:bottom w:val="single" w:sz="4" w:space="0" w:color="000000"/>
              <w:right w:val="single" w:sz="4" w:space="0" w:color="000000"/>
            </w:tcBorders>
            <w:tcMar>
              <w:top w:w="0" w:type="dxa"/>
              <w:left w:w="60" w:type="dxa"/>
              <w:bottom w:w="10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16"/>
                <w:vertAlign w:val="baseline"/>
              </w:rPr>
            </w:pPr>
            <w:r>
              <w:rPr>
                <w:rFonts w:ascii="Times New Roman" w:eastAsia="Times New Roman" w:hAnsi="Times New Roman" w:cs="Times New Roman"/>
                <w:b w:val="0"/>
                <w:i w:val="0"/>
                <w:vanish w:val="0"/>
                <w:color w:val="000000"/>
                <w:sz w:val="16"/>
                <w:vertAlign w:val="baseline"/>
              </w:rPr>
              <w:t>Datum dokumenta</w:t>
            </w:r>
          </w:p>
        </w:tc>
        <w:tc>
          <w:tcPr>
            <w:tcW w:w="1600" w:type="dxa"/>
            <w:tcBorders>
              <w:top w:val="single" w:sz="4" w:space="0" w:color="000000"/>
              <w:left w:val="single" w:sz="4" w:space="0" w:color="000000"/>
              <w:bottom w:val="single" w:sz="4" w:space="0" w:color="000000"/>
              <w:right w:val="single" w:sz="4" w:space="0" w:color="000000"/>
            </w:tcBorders>
            <w:tcMar>
              <w:top w:w="0" w:type="dxa"/>
              <w:left w:w="60" w:type="dxa"/>
              <w:bottom w:w="10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16"/>
                <w:vertAlign w:val="baseline"/>
              </w:rPr>
            </w:pPr>
            <w:r>
              <w:rPr>
                <w:rFonts w:ascii="Times New Roman" w:eastAsia="Times New Roman" w:hAnsi="Times New Roman" w:cs="Times New Roman"/>
                <w:b w:val="0"/>
                <w:i w:val="0"/>
                <w:vanish w:val="0"/>
                <w:color w:val="000000"/>
                <w:sz w:val="16"/>
                <w:vertAlign w:val="baseline"/>
              </w:rPr>
              <w:t>Lokalna referenca</w:t>
            </w:r>
          </w:p>
        </w:tc>
        <w:tc>
          <w:tcPr>
            <w:tcW w:w="1600" w:type="dxa"/>
            <w:tcBorders>
              <w:top w:val="single" w:sz="4" w:space="0" w:color="000000"/>
              <w:left w:val="single" w:sz="4" w:space="0" w:color="000000"/>
              <w:bottom w:val="single" w:sz="4" w:space="0" w:color="000000"/>
              <w:right w:val="single" w:sz="4" w:space="0" w:color="000000"/>
            </w:tcBorders>
            <w:tcMar>
              <w:top w:w="0" w:type="dxa"/>
              <w:left w:w="60" w:type="dxa"/>
              <w:bottom w:w="10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16"/>
                <w:vertAlign w:val="baseline"/>
              </w:rPr>
            </w:pPr>
            <w:r>
              <w:rPr>
                <w:rFonts w:ascii="Times New Roman" w:eastAsia="Times New Roman" w:hAnsi="Times New Roman" w:cs="Times New Roman"/>
                <w:b w:val="0"/>
                <w:i w:val="0"/>
                <w:vanish w:val="0"/>
                <w:color w:val="000000"/>
                <w:sz w:val="16"/>
                <w:vertAlign w:val="baseline"/>
              </w:rPr>
              <w:t>Referenčna oznaka Komisije</w:t>
            </w:r>
          </w:p>
        </w:tc>
        <w:tc>
          <w:tcPr>
            <w:tcW w:w="1600" w:type="dxa"/>
            <w:tcBorders>
              <w:top w:val="single" w:sz="4" w:space="0" w:color="000000"/>
              <w:left w:val="single" w:sz="4" w:space="0" w:color="000000"/>
              <w:bottom w:val="single" w:sz="4" w:space="0" w:color="000000"/>
              <w:right w:val="single" w:sz="4" w:space="0" w:color="000000"/>
            </w:tcBorders>
            <w:tcMar>
              <w:top w:w="0" w:type="dxa"/>
              <w:left w:w="60" w:type="dxa"/>
              <w:bottom w:w="10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16"/>
                <w:vertAlign w:val="baseline"/>
              </w:rPr>
            </w:pPr>
            <w:r>
              <w:rPr>
                <w:rFonts w:ascii="Times New Roman" w:eastAsia="Times New Roman" w:hAnsi="Times New Roman" w:cs="Times New Roman"/>
                <w:b w:val="0"/>
                <w:i w:val="0"/>
                <w:vanish w:val="0"/>
                <w:color w:val="000000"/>
                <w:sz w:val="16"/>
                <w:vertAlign w:val="baseline"/>
              </w:rPr>
              <w:t>Datoteke</w:t>
            </w:r>
          </w:p>
        </w:tc>
        <w:tc>
          <w:tcPr>
            <w:tcW w:w="1000" w:type="dxa"/>
            <w:tcBorders>
              <w:top w:val="single" w:sz="4" w:space="0" w:color="000000"/>
              <w:left w:val="single" w:sz="4" w:space="0" w:color="000000"/>
              <w:bottom w:val="single" w:sz="4" w:space="0" w:color="000000"/>
              <w:right w:val="single" w:sz="4" w:space="0" w:color="000000"/>
            </w:tcBorders>
            <w:tcMar>
              <w:top w:w="0" w:type="dxa"/>
              <w:left w:w="60" w:type="dxa"/>
              <w:bottom w:w="10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16"/>
                <w:vertAlign w:val="baseline"/>
              </w:rPr>
            </w:pPr>
            <w:r>
              <w:rPr>
                <w:rFonts w:ascii="Times New Roman" w:eastAsia="Times New Roman" w:hAnsi="Times New Roman" w:cs="Times New Roman"/>
                <w:b w:val="0"/>
                <w:i w:val="0"/>
                <w:vanish w:val="0"/>
                <w:color w:val="000000"/>
                <w:sz w:val="16"/>
                <w:vertAlign w:val="baseline"/>
              </w:rPr>
              <w:t>Datum pošiljanja</w:t>
            </w:r>
          </w:p>
        </w:tc>
        <w:tc>
          <w:tcPr>
            <w:tcW w:w="1600" w:type="dxa"/>
            <w:tcBorders>
              <w:top w:val="single" w:sz="4" w:space="0" w:color="000000"/>
              <w:left w:val="single" w:sz="4" w:space="0" w:color="000000"/>
              <w:bottom w:val="single" w:sz="4" w:space="0" w:color="000000"/>
              <w:right w:val="single" w:sz="4" w:space="0" w:color="000000"/>
            </w:tcBorders>
            <w:tcMar>
              <w:top w:w="0" w:type="dxa"/>
              <w:left w:w="60" w:type="dxa"/>
              <w:bottom w:w="10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16"/>
                <w:vertAlign w:val="baseline"/>
              </w:rPr>
            </w:pPr>
            <w:r>
              <w:rPr>
                <w:rFonts w:ascii="Times New Roman" w:eastAsia="Times New Roman" w:hAnsi="Times New Roman" w:cs="Times New Roman"/>
                <w:b w:val="0"/>
                <w:i w:val="0"/>
                <w:vanish w:val="0"/>
                <w:color w:val="000000"/>
                <w:sz w:val="16"/>
                <w:vertAlign w:val="baseline"/>
              </w:rPr>
              <w:t>Poslal</w:t>
            </w:r>
          </w:p>
        </w:tc>
      </w:tr>
    </w:tbl>
    <w:p w:rsidR="00A77B3E">
      <w:pPr>
        <w:spacing w:before="100" w:after="0"/>
        <w:jc w:val="center"/>
        <w:rPr>
          <w:rFonts w:ascii="Times New Roman" w:eastAsia="Times New Roman" w:hAnsi="Times New Roman" w:cs="Times New Roman"/>
          <w:b w:val="0"/>
          <w:i w:val="0"/>
          <w:vanish w:val="0"/>
          <w:color w:val="000000"/>
          <w:sz w:val="16"/>
          <w:vertAlign w:val="baseline"/>
        </w:rPr>
      </w:pPr>
    </w:p>
    <w:sectPr>
      <w:headerReference w:type="even" r:id="rId106"/>
      <w:headerReference w:type="default" r:id="rId107"/>
      <w:footerReference w:type="even" r:id="rId108"/>
      <w:footerReference w:type="default" r:id="rId109"/>
      <w:headerReference w:type="first" r:id="rId110"/>
      <w:footerReference w:type="first" r:id="rId111"/>
      <w:type w:val="nextPage"/>
      <w:pgSz w:w="16838" w:h="11906" w:orient="landscape"/>
      <w:pgMar w:top="720" w:right="720" w:bottom="864" w:left="936" w:header="288" w:footer="72"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5000" w:type="pct"/>
      <w:tblCellMar>
        <w:left w:w="108" w:type="dxa"/>
        <w:right w:w="108" w:type="dxa"/>
      </w:tblCellMar>
    </w:tblPr>
    <w:tblGrid>
      <w:gridCol w:w="4114"/>
      <w:gridCol w:w="2223"/>
      <w:gridCol w:w="4113"/>
    </w:tblGrid>
    <w:tr>
      <w:tblPrEx>
        <w:tblW w:w="5000" w:type="pct"/>
      </w:tblPrEx>
      <w:trPr>
        <w:trHeight w:val="240"/>
      </w:trPr>
      <w:tc>
        <w:tcPr>
          <w:tcMar>
            <w:left w:w="100" w:type="dxa"/>
            <w:right w:w="100" w:type="dxa"/>
          </w:tcMar>
          <w:vAlign w:val="top"/>
        </w:tcPr>
        <w:p>
          <w:pPr>
            <w:jc w:val="left"/>
            <w:rPr>
              <w:rFonts w:ascii="Times New Roman" w:eastAsia="Times New Roman" w:hAnsi="Times New Roman" w:cs="Times New Roman"/>
              <w:b/>
              <w:vanish w:val="0"/>
              <w:color w:val="000000"/>
              <w:sz w:val="24"/>
            </w:rPr>
          </w:pPr>
          <w:r>
            <w:rPr>
              <w:rFonts w:ascii="Times New Roman" w:eastAsia="Times New Roman" w:hAnsi="Times New Roman" w:cs="Times New Roman"/>
              <w:b/>
              <w:vanish w:val="0"/>
              <w:color w:val="000000"/>
              <w:sz w:val="32"/>
            </w:rPr>
            <w:t>SL</w:t>
          </w:r>
        </w:p>
      </w:tc>
      <w:tc>
        <w:tcPr>
          <w:tcMar>
            <w:left w:w="100" w:type="dxa"/>
            <w:right w:w="100" w:type="dxa"/>
          </w:tcMar>
          <w:vAlign w:val="top"/>
        </w:tcPr>
        <w:p>
          <w:pPr>
            <w:jc w:val="center"/>
            <w:rPr>
              <w:rFonts w:ascii="Times New Roman" w:eastAsia="Times New Roman" w:hAnsi="Times New Roman" w:cs="Times New Roman"/>
              <w:b/>
              <w:vanish w:val="0"/>
              <w:color w:val="000000"/>
              <w:sz w:val="32"/>
            </w:rPr>
          </w:pPr>
          <w:r>
            <w:rPr>
              <w:rFonts w:ascii="Times New Roman" w:eastAsia="Times New Roman" w:hAnsi="Times New Roman" w:cs="Times New Roman"/>
              <w:b/>
              <w:vanish w:val="0"/>
              <w:color w:val="000000"/>
              <w:sz w:val="24"/>
            </w:rPr>
            <w:fldChar w:fldCharType="begin"/>
          </w:r>
          <w:r>
            <w:rPr>
              <w:rFonts w:ascii="Times New Roman" w:eastAsia="Times New Roman" w:hAnsi="Times New Roman" w:cs="Times New Roman"/>
              <w:b/>
              <w:vanish w:val="0"/>
              <w:color w:val="000000"/>
              <w:sz w:val="24"/>
            </w:rPr>
            <w:instrText>PAGE</w:instrText>
          </w:r>
          <w:r>
            <w:rPr>
              <w:rFonts w:ascii="Times New Roman" w:eastAsia="Times New Roman" w:hAnsi="Times New Roman" w:cs="Times New Roman"/>
              <w:b/>
              <w:vanish w:val="0"/>
              <w:color w:val="000000"/>
              <w:sz w:val="24"/>
            </w:rPr>
            <w:fldChar w:fldCharType="separate"/>
          </w:r>
          <w:r>
            <w:rPr>
              <w:rFonts w:ascii="Times New Roman" w:eastAsia="Times New Roman" w:hAnsi="Times New Roman" w:cs="Times New Roman"/>
              <w:b/>
              <w:noProof/>
              <w:vanish w:val="0"/>
              <w:color w:val="000000"/>
              <w:sz w:val="24"/>
              <w:szCs w:val="24"/>
              <w:lang w:val="en-US" w:eastAsia="en-US" w:bidi="ar-SA"/>
            </w:rPr>
            <w:t>7</w:t>
          </w:r>
          <w:r>
            <w:rPr>
              <w:rFonts w:ascii="Times New Roman" w:eastAsia="Times New Roman" w:hAnsi="Times New Roman" w:cs="Times New Roman"/>
              <w:b/>
              <w:vanish w:val="0"/>
              <w:color w:val="000000"/>
              <w:sz w:val="24"/>
            </w:rPr>
            <w:fldChar w:fldCharType="end"/>
          </w:r>
        </w:p>
      </w:tc>
      <w:tc>
        <w:tcPr>
          <w:tcMar>
            <w:left w:w="100" w:type="dxa"/>
            <w:right w:w="100" w:type="dxa"/>
          </w:tcMar>
          <w:vAlign w:val="top"/>
        </w:tcPr>
        <w:p>
          <w:pPr>
            <w:jc w:val="right"/>
            <w:rPr>
              <w:rFonts w:ascii="Times New Roman" w:eastAsia="Times New Roman" w:hAnsi="Times New Roman" w:cs="Times New Roman"/>
              <w:b/>
              <w:vanish w:val="0"/>
              <w:color w:val="000000"/>
              <w:sz w:val="32"/>
            </w:rPr>
          </w:pPr>
          <w:r>
            <w:rPr>
              <w:rFonts w:ascii="Times New Roman" w:eastAsia="Times New Roman" w:hAnsi="Times New Roman" w:cs="Times New Roman"/>
              <w:b/>
              <w:vanish w:val="0"/>
              <w:color w:val="000000"/>
              <w:sz w:val="32"/>
            </w:rPr>
            <w:t>SL</w:t>
          </w:r>
        </w:p>
      </w:tc>
    </w:tr>
  </w:tbl>
  <w:p>
    <w:pPr>
      <w:rPr>
        <w:rFonts w:ascii="Times New Roman" w:eastAsia="Times New Roman" w:hAnsi="Times New Roman" w:cs="Times New Roman"/>
        <w:b/>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5000" w:type="pct"/>
      <w:tblCellMar>
        <w:left w:w="108" w:type="dxa"/>
        <w:right w:w="108" w:type="dxa"/>
      </w:tblCellMar>
    </w:tblPr>
    <w:tblGrid>
      <w:gridCol w:w="4114"/>
      <w:gridCol w:w="2223"/>
      <w:gridCol w:w="4113"/>
    </w:tblGrid>
    <w:tr>
      <w:tblPrEx>
        <w:tblW w:w="5000" w:type="pct"/>
      </w:tblPrEx>
      <w:trPr>
        <w:trHeight w:val="240"/>
        <w:tblHeader w:val="0"/>
      </w:trPr>
      <w:tc>
        <w:tcPr>
          <w:tcMar>
            <w:left w:w="100" w:type="dxa"/>
            <w:right w:w="100" w:type="dxa"/>
          </w:tcMar>
          <w:vAlign w:val="top"/>
        </w:tcPr>
        <w:p>
          <w:pPr>
            <w:jc w:val="left"/>
            <w:rPr>
              <w:rFonts w:ascii="Times New Roman" w:eastAsia="Times New Roman" w:hAnsi="Times New Roman" w:cs="Times New Roman"/>
              <w:b/>
              <w:vanish w:val="0"/>
              <w:color w:val="000000"/>
              <w:sz w:val="24"/>
            </w:rPr>
          </w:pPr>
          <w:r>
            <w:rPr>
              <w:rFonts w:ascii="Times New Roman" w:eastAsia="Times New Roman" w:hAnsi="Times New Roman" w:cs="Times New Roman"/>
              <w:b/>
              <w:vanish w:val="0"/>
              <w:color w:val="000000"/>
              <w:sz w:val="32"/>
            </w:rPr>
            <w:t>SL</w:t>
          </w:r>
        </w:p>
      </w:tc>
      <w:tc>
        <w:tcPr>
          <w:tcMar>
            <w:left w:w="100" w:type="dxa"/>
            <w:right w:w="100" w:type="dxa"/>
          </w:tcMar>
          <w:vAlign w:val="top"/>
        </w:tcPr>
        <w:p>
          <w:pPr>
            <w:jc w:val="center"/>
            <w:rPr>
              <w:rFonts w:ascii="Times New Roman" w:eastAsia="Times New Roman" w:hAnsi="Times New Roman" w:cs="Times New Roman"/>
              <w:b/>
              <w:vanish w:val="0"/>
              <w:color w:val="000000"/>
              <w:sz w:val="32"/>
            </w:rPr>
          </w:pPr>
          <w:r>
            <w:rPr>
              <w:rFonts w:ascii="Times New Roman" w:eastAsia="Times New Roman" w:hAnsi="Times New Roman" w:cs="Times New Roman"/>
              <w:b/>
              <w:vanish w:val="0"/>
              <w:color w:val="000000"/>
              <w:sz w:val="24"/>
            </w:rPr>
            <w:fldChar w:fldCharType="begin"/>
          </w:r>
          <w:r>
            <w:rPr>
              <w:rFonts w:ascii="Times New Roman" w:eastAsia="Times New Roman" w:hAnsi="Times New Roman" w:cs="Times New Roman"/>
              <w:b/>
              <w:vanish w:val="0"/>
              <w:color w:val="000000"/>
              <w:sz w:val="24"/>
            </w:rPr>
            <w:instrText>PAGE</w:instrText>
          </w:r>
          <w:r>
            <w:rPr>
              <w:rFonts w:ascii="Times New Roman" w:eastAsia="Times New Roman" w:hAnsi="Times New Roman" w:cs="Times New Roman"/>
              <w:b/>
              <w:vanish w:val="0"/>
              <w:color w:val="000000"/>
              <w:sz w:val="24"/>
            </w:rPr>
            <w:fldChar w:fldCharType="separate"/>
          </w:r>
          <w:r>
            <w:rPr>
              <w:rFonts w:ascii="Times New Roman" w:eastAsia="Times New Roman" w:hAnsi="Times New Roman" w:cs="Times New Roman"/>
              <w:b/>
              <w:noProof/>
              <w:vanish w:val="0"/>
              <w:color w:val="000000"/>
              <w:sz w:val="24"/>
              <w:szCs w:val="24"/>
              <w:lang w:val="en-US" w:eastAsia="en-US" w:bidi="ar-SA"/>
            </w:rPr>
            <w:t>8</w:t>
          </w:r>
          <w:r>
            <w:rPr>
              <w:rFonts w:ascii="Times New Roman" w:eastAsia="Times New Roman" w:hAnsi="Times New Roman" w:cs="Times New Roman"/>
              <w:b/>
              <w:vanish w:val="0"/>
              <w:color w:val="000000"/>
              <w:sz w:val="24"/>
            </w:rPr>
            <w:fldChar w:fldCharType="end"/>
          </w:r>
        </w:p>
      </w:tc>
      <w:tc>
        <w:tcPr>
          <w:tcMar>
            <w:left w:w="100" w:type="dxa"/>
            <w:right w:w="100" w:type="dxa"/>
          </w:tcMar>
          <w:vAlign w:val="top"/>
        </w:tcPr>
        <w:p>
          <w:pPr>
            <w:jc w:val="right"/>
            <w:rPr>
              <w:rFonts w:ascii="Times New Roman" w:eastAsia="Times New Roman" w:hAnsi="Times New Roman" w:cs="Times New Roman"/>
              <w:b/>
              <w:vanish w:val="0"/>
              <w:color w:val="000000"/>
              <w:sz w:val="32"/>
            </w:rPr>
          </w:pPr>
          <w:r>
            <w:rPr>
              <w:rFonts w:ascii="Times New Roman" w:eastAsia="Times New Roman" w:hAnsi="Times New Roman" w:cs="Times New Roman"/>
              <w:b/>
              <w:vanish w:val="0"/>
              <w:color w:val="000000"/>
              <w:sz w:val="32"/>
            </w:rPr>
            <w:t>SL</w:t>
          </w:r>
        </w:p>
      </w:tc>
    </w:tr>
  </w:tbl>
  <w:p>
    <w:pPr>
      <w:rPr>
        <w:rFonts w:ascii="Times New Roman" w:eastAsia="Times New Roman" w:hAnsi="Times New Roman" w:cs="Times New Roman"/>
        <w:b/>
        <w:color w:val="000000"/>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5000" w:type="pct"/>
      <w:tblCellMar>
        <w:left w:w="108" w:type="dxa"/>
        <w:right w:w="108" w:type="dxa"/>
      </w:tblCellMar>
    </w:tblPr>
    <w:tblGrid>
      <w:gridCol w:w="3837"/>
      <w:gridCol w:w="2697"/>
      <w:gridCol w:w="3836"/>
    </w:tblGrid>
    <w:tr>
      <w:tblPrEx>
        <w:tblW w:w="5000" w:type="pct"/>
      </w:tblPrEx>
      <w:trPr>
        <w:cantSplit w:val="0"/>
        <w:trHeight w:val="160"/>
        <w:tblHeader w:val="0"/>
      </w:trPr>
      <w:tc>
        <w:tcPr>
          <w:tcMar>
            <w:top w:w="0" w:type="dxa"/>
            <w:left w:w="60" w:type="dxa"/>
            <w:bottom w:w="80" w:type="dxa"/>
            <w:right w:w="60" w:type="dxa"/>
          </w:tcMar>
          <w:vAlign w:val="top"/>
        </w:tcPr>
        <w:p>
          <w:pPr>
            <w:jc w:val="left"/>
            <w:rPr>
              <w:rFonts w:ascii="Times New Roman" w:eastAsia="Times New Roman" w:hAnsi="Times New Roman" w:cs="Times New Roman"/>
              <w:b/>
              <w:vanish w:val="0"/>
              <w:color w:val="000000"/>
              <w:sz w:val="24"/>
            </w:rPr>
          </w:pPr>
          <w:r>
            <w:rPr>
              <w:rFonts w:ascii="Times New Roman" w:eastAsia="Times New Roman" w:hAnsi="Times New Roman" w:cs="Times New Roman"/>
              <w:b/>
              <w:vanish w:val="0"/>
              <w:color w:val="000000"/>
              <w:sz w:val="32"/>
            </w:rPr>
            <w:t>SL</w:t>
          </w:r>
        </w:p>
      </w:tc>
      <w:tc>
        <w:tcPr>
          <w:tcMar>
            <w:top w:w="0" w:type="dxa"/>
            <w:left w:w="60" w:type="dxa"/>
            <w:bottom w:w="80" w:type="dxa"/>
            <w:right w:w="60" w:type="dxa"/>
          </w:tcMar>
          <w:vAlign w:val="top"/>
        </w:tcPr>
        <w:p>
          <w:pPr>
            <w:jc w:val="center"/>
            <w:rPr>
              <w:rFonts w:ascii="Times New Roman" w:eastAsia="Times New Roman" w:hAnsi="Times New Roman" w:cs="Times New Roman"/>
              <w:b/>
              <w:vanish w:val="0"/>
              <w:color w:val="000000"/>
              <w:sz w:val="32"/>
            </w:rPr>
          </w:pPr>
          <w:r>
            <w:rPr>
              <w:rFonts w:ascii="Times New Roman" w:eastAsia="Times New Roman" w:hAnsi="Times New Roman" w:cs="Times New Roman"/>
              <w:b/>
              <w:vanish w:val="0"/>
              <w:color w:val="000000"/>
              <w:sz w:val="24"/>
            </w:rPr>
            <w:fldChar w:fldCharType="begin"/>
          </w:r>
          <w:r>
            <w:rPr>
              <w:rFonts w:ascii="Times New Roman" w:eastAsia="Times New Roman" w:hAnsi="Times New Roman" w:cs="Times New Roman"/>
              <w:b/>
              <w:vanish w:val="0"/>
              <w:color w:val="000000"/>
              <w:sz w:val="24"/>
            </w:rPr>
            <w:instrText>PAGE</w:instrText>
          </w:r>
          <w:r>
            <w:rPr>
              <w:rFonts w:ascii="Times New Roman" w:eastAsia="Times New Roman" w:hAnsi="Times New Roman" w:cs="Times New Roman"/>
              <w:b/>
              <w:vanish w:val="0"/>
              <w:color w:val="000000"/>
              <w:sz w:val="24"/>
            </w:rPr>
            <w:fldChar w:fldCharType="separate"/>
          </w:r>
          <w:r>
            <w:rPr>
              <w:rFonts w:ascii="Times New Roman" w:eastAsia="Times New Roman" w:hAnsi="Times New Roman" w:cs="Times New Roman"/>
              <w:b/>
              <w:noProof/>
              <w:vanish w:val="0"/>
              <w:color w:val="000000"/>
              <w:sz w:val="24"/>
              <w:szCs w:val="24"/>
              <w:lang w:val="en-US" w:eastAsia="en-US" w:bidi="ar-SA"/>
            </w:rPr>
            <w:t>14</w:t>
          </w:r>
          <w:r>
            <w:rPr>
              <w:rFonts w:ascii="Times New Roman" w:eastAsia="Times New Roman" w:hAnsi="Times New Roman" w:cs="Times New Roman"/>
              <w:b/>
              <w:vanish w:val="0"/>
              <w:color w:val="000000"/>
              <w:sz w:val="24"/>
            </w:rPr>
            <w:fldChar w:fldCharType="end"/>
          </w:r>
        </w:p>
      </w:tc>
      <w:tc>
        <w:tcPr>
          <w:tcMar>
            <w:top w:w="0" w:type="dxa"/>
            <w:left w:w="60" w:type="dxa"/>
            <w:bottom w:w="80" w:type="dxa"/>
            <w:right w:w="60" w:type="dxa"/>
          </w:tcMar>
          <w:vAlign w:val="top"/>
        </w:tcPr>
        <w:p>
          <w:pPr>
            <w:jc w:val="right"/>
            <w:rPr>
              <w:rFonts w:ascii="Times New Roman" w:eastAsia="Times New Roman" w:hAnsi="Times New Roman" w:cs="Times New Roman"/>
              <w:b/>
              <w:vanish w:val="0"/>
              <w:color w:val="000000"/>
              <w:sz w:val="32"/>
            </w:rPr>
          </w:pPr>
          <w:r>
            <w:rPr>
              <w:rFonts w:ascii="Times New Roman" w:eastAsia="Times New Roman" w:hAnsi="Times New Roman" w:cs="Times New Roman"/>
              <w:b/>
              <w:vanish w:val="0"/>
              <w:color w:val="000000"/>
              <w:sz w:val="32"/>
            </w:rPr>
            <w:t>SL</w:t>
          </w:r>
        </w:p>
      </w:tc>
    </w:tr>
  </w:tbl>
  <w:p>
    <w:pPr>
      <w:rPr>
        <w:rFonts w:ascii="Times New Roman" w:eastAsia="Times New Roman" w:hAnsi="Times New Roman" w:cs="Times New Roman"/>
        <w:b/>
        <w:color w:val="000000"/>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5000" w:type="pct"/>
      <w:tblCellMar>
        <w:left w:w="108" w:type="dxa"/>
        <w:right w:w="108" w:type="dxa"/>
      </w:tblCellMar>
    </w:tblPr>
    <w:tblGrid>
      <w:gridCol w:w="5661"/>
      <w:gridCol w:w="3980"/>
      <w:gridCol w:w="5661"/>
    </w:tblGrid>
    <w:tr>
      <w:tblPrEx>
        <w:tblW w:w="5000" w:type="pct"/>
      </w:tblPrEx>
      <w:trPr>
        <w:cantSplit w:val="0"/>
        <w:trHeight w:val="160"/>
        <w:tblHeader w:val="0"/>
      </w:trPr>
      <w:tc>
        <w:tcPr>
          <w:tcMar>
            <w:top w:w="0" w:type="dxa"/>
            <w:left w:w="60" w:type="dxa"/>
            <w:bottom w:w="80" w:type="dxa"/>
            <w:right w:w="60" w:type="dxa"/>
          </w:tcMar>
          <w:vAlign w:val="top"/>
        </w:tcPr>
        <w:p>
          <w:pPr>
            <w:jc w:val="left"/>
            <w:rPr>
              <w:rFonts w:ascii="Times New Roman" w:eastAsia="Times New Roman" w:hAnsi="Times New Roman" w:cs="Times New Roman"/>
              <w:b/>
              <w:vanish w:val="0"/>
              <w:color w:val="000000"/>
              <w:sz w:val="24"/>
            </w:rPr>
          </w:pPr>
          <w:r>
            <w:rPr>
              <w:rFonts w:ascii="Times New Roman" w:eastAsia="Times New Roman" w:hAnsi="Times New Roman" w:cs="Times New Roman"/>
              <w:b/>
              <w:vanish w:val="0"/>
              <w:color w:val="000000"/>
              <w:sz w:val="32"/>
            </w:rPr>
            <w:t>SL</w:t>
          </w:r>
        </w:p>
      </w:tc>
      <w:tc>
        <w:tcPr>
          <w:tcMar>
            <w:top w:w="0" w:type="dxa"/>
            <w:left w:w="60" w:type="dxa"/>
            <w:bottom w:w="80" w:type="dxa"/>
            <w:right w:w="60" w:type="dxa"/>
          </w:tcMar>
          <w:vAlign w:val="top"/>
        </w:tcPr>
        <w:p>
          <w:pPr>
            <w:jc w:val="center"/>
            <w:rPr>
              <w:rFonts w:ascii="Times New Roman" w:eastAsia="Times New Roman" w:hAnsi="Times New Roman" w:cs="Times New Roman"/>
              <w:b/>
              <w:vanish w:val="0"/>
              <w:color w:val="000000"/>
              <w:sz w:val="32"/>
            </w:rPr>
          </w:pPr>
          <w:r>
            <w:rPr>
              <w:rFonts w:ascii="Times New Roman" w:eastAsia="Times New Roman" w:hAnsi="Times New Roman" w:cs="Times New Roman"/>
              <w:b/>
              <w:vanish w:val="0"/>
              <w:color w:val="000000"/>
              <w:sz w:val="24"/>
            </w:rPr>
            <w:fldChar w:fldCharType="begin"/>
          </w:r>
          <w:r>
            <w:rPr>
              <w:rFonts w:ascii="Times New Roman" w:eastAsia="Times New Roman" w:hAnsi="Times New Roman" w:cs="Times New Roman"/>
              <w:b/>
              <w:vanish w:val="0"/>
              <w:color w:val="000000"/>
              <w:sz w:val="24"/>
            </w:rPr>
            <w:instrText>PAGE</w:instrText>
          </w:r>
          <w:r>
            <w:rPr>
              <w:rFonts w:ascii="Times New Roman" w:eastAsia="Times New Roman" w:hAnsi="Times New Roman" w:cs="Times New Roman"/>
              <w:b/>
              <w:vanish w:val="0"/>
              <w:color w:val="000000"/>
              <w:sz w:val="24"/>
            </w:rPr>
            <w:fldChar w:fldCharType="separate"/>
          </w:r>
          <w:r>
            <w:rPr>
              <w:rFonts w:ascii="Times New Roman" w:eastAsia="Times New Roman" w:hAnsi="Times New Roman" w:cs="Times New Roman"/>
              <w:b/>
              <w:noProof/>
              <w:vanish w:val="0"/>
              <w:color w:val="000000"/>
              <w:sz w:val="24"/>
              <w:szCs w:val="24"/>
              <w:lang w:val="en-US" w:eastAsia="en-US" w:bidi="ar-SA"/>
            </w:rPr>
            <w:t>18</w:t>
          </w:r>
          <w:r>
            <w:rPr>
              <w:rFonts w:ascii="Times New Roman" w:eastAsia="Times New Roman" w:hAnsi="Times New Roman" w:cs="Times New Roman"/>
              <w:b/>
              <w:vanish w:val="0"/>
              <w:color w:val="000000"/>
              <w:sz w:val="24"/>
            </w:rPr>
            <w:fldChar w:fldCharType="end"/>
          </w:r>
        </w:p>
      </w:tc>
      <w:tc>
        <w:tcPr>
          <w:tcMar>
            <w:top w:w="0" w:type="dxa"/>
            <w:left w:w="60" w:type="dxa"/>
            <w:bottom w:w="80" w:type="dxa"/>
            <w:right w:w="60" w:type="dxa"/>
          </w:tcMar>
          <w:vAlign w:val="top"/>
        </w:tcPr>
        <w:p>
          <w:pPr>
            <w:jc w:val="right"/>
            <w:rPr>
              <w:rFonts w:ascii="Times New Roman" w:eastAsia="Times New Roman" w:hAnsi="Times New Roman" w:cs="Times New Roman"/>
              <w:b/>
              <w:vanish w:val="0"/>
              <w:color w:val="000000"/>
              <w:sz w:val="32"/>
            </w:rPr>
          </w:pPr>
          <w:r>
            <w:rPr>
              <w:rFonts w:ascii="Times New Roman" w:eastAsia="Times New Roman" w:hAnsi="Times New Roman" w:cs="Times New Roman"/>
              <w:b/>
              <w:vanish w:val="0"/>
              <w:color w:val="000000"/>
              <w:sz w:val="32"/>
            </w:rPr>
            <w:t>SL</w:t>
          </w:r>
        </w:p>
      </w:tc>
    </w:tr>
  </w:tbl>
  <w:p>
    <w:pPr>
      <w:rPr>
        <w:rFonts w:ascii="Times New Roman" w:eastAsia="Times New Roman" w:hAnsi="Times New Roman" w:cs="Times New Roman"/>
        <w:b/>
        <w:color w:val="000000"/>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5000" w:type="pct"/>
      <w:tblCellMar>
        <w:left w:w="108" w:type="dxa"/>
        <w:right w:w="108" w:type="dxa"/>
      </w:tblCellMar>
    </w:tblPr>
    <w:tblGrid>
      <w:gridCol w:w="3837"/>
      <w:gridCol w:w="2697"/>
      <w:gridCol w:w="3836"/>
    </w:tblGrid>
    <w:tr>
      <w:tblPrEx>
        <w:tblW w:w="5000" w:type="pct"/>
      </w:tblPrEx>
      <w:trPr>
        <w:cantSplit w:val="0"/>
        <w:trHeight w:hRule="auto" w:val="0"/>
        <w:tblHeader w:val="0"/>
      </w:trPr>
      <w:tc>
        <w:tcPr>
          <w:tcMar>
            <w:top w:w="0" w:type="dxa"/>
            <w:left w:w="60" w:type="dxa"/>
            <w:bottom w:w="80" w:type="dxa"/>
            <w:right w:w="60" w:type="dxa"/>
          </w:tcMar>
          <w:vAlign w:val="top"/>
        </w:tcPr>
        <w:p>
          <w:pPr>
            <w:jc w:val="left"/>
            <w:rPr>
              <w:rFonts w:ascii="Times New Roman" w:eastAsia="Times New Roman" w:hAnsi="Times New Roman" w:cs="Times New Roman"/>
              <w:b/>
              <w:vanish w:val="0"/>
              <w:color w:val="000000"/>
              <w:sz w:val="24"/>
            </w:rPr>
          </w:pPr>
          <w:r>
            <w:rPr>
              <w:rFonts w:ascii="Times New Roman" w:eastAsia="Times New Roman" w:hAnsi="Times New Roman" w:cs="Times New Roman"/>
              <w:b/>
              <w:vanish w:val="0"/>
              <w:color w:val="000000"/>
              <w:sz w:val="32"/>
            </w:rPr>
            <w:t>SL</w:t>
          </w:r>
        </w:p>
      </w:tc>
      <w:tc>
        <w:tcPr>
          <w:tcMar>
            <w:top w:w="0" w:type="dxa"/>
            <w:left w:w="60" w:type="dxa"/>
            <w:bottom w:w="80" w:type="dxa"/>
            <w:right w:w="60" w:type="dxa"/>
          </w:tcMar>
          <w:vAlign w:val="top"/>
        </w:tcPr>
        <w:p>
          <w:pPr>
            <w:jc w:val="center"/>
            <w:rPr>
              <w:rFonts w:ascii="Times New Roman" w:eastAsia="Times New Roman" w:hAnsi="Times New Roman" w:cs="Times New Roman"/>
              <w:b/>
              <w:vanish w:val="0"/>
              <w:color w:val="000000"/>
              <w:sz w:val="32"/>
            </w:rPr>
          </w:pPr>
          <w:r>
            <w:rPr>
              <w:rFonts w:ascii="Times New Roman" w:eastAsia="Times New Roman" w:hAnsi="Times New Roman" w:cs="Times New Roman"/>
              <w:b/>
              <w:vanish w:val="0"/>
              <w:color w:val="000000"/>
              <w:sz w:val="24"/>
            </w:rPr>
            <w:fldChar w:fldCharType="begin"/>
          </w:r>
          <w:r>
            <w:rPr>
              <w:rFonts w:ascii="Times New Roman" w:eastAsia="Times New Roman" w:hAnsi="Times New Roman" w:cs="Times New Roman"/>
              <w:b/>
              <w:vanish w:val="0"/>
              <w:color w:val="000000"/>
              <w:sz w:val="24"/>
            </w:rPr>
            <w:instrText>PAGE</w:instrText>
          </w:r>
          <w:r>
            <w:rPr>
              <w:rFonts w:ascii="Times New Roman" w:eastAsia="Times New Roman" w:hAnsi="Times New Roman" w:cs="Times New Roman"/>
              <w:b/>
              <w:vanish w:val="0"/>
              <w:color w:val="000000"/>
              <w:sz w:val="24"/>
            </w:rPr>
            <w:fldChar w:fldCharType="separate"/>
          </w:r>
          <w:r>
            <w:rPr>
              <w:rFonts w:ascii="Times New Roman" w:eastAsia="Times New Roman" w:hAnsi="Times New Roman" w:cs="Times New Roman"/>
              <w:b/>
              <w:noProof/>
              <w:vanish w:val="0"/>
              <w:color w:val="000000"/>
              <w:sz w:val="24"/>
              <w:szCs w:val="24"/>
              <w:lang w:val="en-US" w:eastAsia="en-US" w:bidi="ar-SA"/>
            </w:rPr>
            <w:t>22</w:t>
          </w:r>
          <w:r>
            <w:rPr>
              <w:rFonts w:ascii="Times New Roman" w:eastAsia="Times New Roman" w:hAnsi="Times New Roman" w:cs="Times New Roman"/>
              <w:b/>
              <w:vanish w:val="0"/>
              <w:color w:val="000000"/>
              <w:sz w:val="24"/>
            </w:rPr>
            <w:fldChar w:fldCharType="end"/>
          </w:r>
        </w:p>
      </w:tc>
      <w:tc>
        <w:tcPr>
          <w:tcMar>
            <w:top w:w="0" w:type="dxa"/>
            <w:left w:w="60" w:type="dxa"/>
            <w:bottom w:w="80" w:type="dxa"/>
            <w:right w:w="60" w:type="dxa"/>
          </w:tcMar>
          <w:vAlign w:val="top"/>
        </w:tcPr>
        <w:p>
          <w:pPr>
            <w:jc w:val="right"/>
            <w:rPr>
              <w:rFonts w:ascii="Times New Roman" w:eastAsia="Times New Roman" w:hAnsi="Times New Roman" w:cs="Times New Roman"/>
              <w:b/>
              <w:vanish w:val="0"/>
              <w:color w:val="000000"/>
              <w:sz w:val="32"/>
            </w:rPr>
          </w:pPr>
          <w:r>
            <w:rPr>
              <w:rFonts w:ascii="Times New Roman" w:eastAsia="Times New Roman" w:hAnsi="Times New Roman" w:cs="Times New Roman"/>
              <w:b/>
              <w:vanish w:val="0"/>
              <w:color w:val="000000"/>
              <w:sz w:val="32"/>
            </w:rPr>
            <w:t>SL</w:t>
          </w:r>
        </w:p>
      </w:tc>
    </w:tr>
  </w:tbl>
  <w:p>
    <w:pPr>
      <w:rPr>
        <w:rFonts w:ascii="Times New Roman" w:eastAsia="Times New Roman" w:hAnsi="Times New Roman" w:cs="Times New Roman"/>
        <w:b/>
        <w:color w:val="000000"/>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5000" w:type="pct"/>
      <w:tblCellMar>
        <w:left w:w="108" w:type="dxa"/>
        <w:right w:w="108" w:type="dxa"/>
      </w:tblCellMar>
    </w:tblPr>
    <w:tblGrid>
      <w:gridCol w:w="5661"/>
      <w:gridCol w:w="3980"/>
      <w:gridCol w:w="5661"/>
    </w:tblGrid>
    <w:tr>
      <w:tblPrEx>
        <w:tblW w:w="5000" w:type="pct"/>
      </w:tblPrEx>
      <w:trPr>
        <w:cantSplit w:val="0"/>
        <w:trHeight w:hRule="auto" w:val="0"/>
        <w:tblHeader w:val="0"/>
      </w:trPr>
      <w:tc>
        <w:tcPr>
          <w:tcMar>
            <w:top w:w="0" w:type="dxa"/>
            <w:left w:w="60" w:type="dxa"/>
            <w:bottom w:w="80" w:type="dxa"/>
            <w:right w:w="60" w:type="dxa"/>
          </w:tcMar>
          <w:vAlign w:val="top"/>
        </w:tcPr>
        <w:p>
          <w:pPr>
            <w:jc w:val="left"/>
            <w:rPr>
              <w:rFonts w:ascii="Times New Roman" w:eastAsia="Times New Roman" w:hAnsi="Times New Roman" w:cs="Times New Roman"/>
              <w:b/>
              <w:vanish w:val="0"/>
              <w:color w:val="000000"/>
              <w:sz w:val="24"/>
            </w:rPr>
          </w:pPr>
          <w:r>
            <w:rPr>
              <w:rFonts w:ascii="Times New Roman" w:eastAsia="Times New Roman" w:hAnsi="Times New Roman" w:cs="Times New Roman"/>
              <w:b/>
              <w:vanish w:val="0"/>
              <w:color w:val="000000"/>
              <w:sz w:val="32"/>
            </w:rPr>
            <w:t>SL</w:t>
          </w:r>
        </w:p>
      </w:tc>
      <w:tc>
        <w:tcPr>
          <w:tcMar>
            <w:top w:w="0" w:type="dxa"/>
            <w:left w:w="60" w:type="dxa"/>
            <w:bottom w:w="80" w:type="dxa"/>
            <w:right w:w="60" w:type="dxa"/>
          </w:tcMar>
          <w:vAlign w:val="top"/>
        </w:tcPr>
        <w:p>
          <w:pPr>
            <w:jc w:val="center"/>
            <w:rPr>
              <w:rFonts w:ascii="Times New Roman" w:eastAsia="Times New Roman" w:hAnsi="Times New Roman" w:cs="Times New Roman"/>
              <w:b/>
              <w:vanish w:val="0"/>
              <w:color w:val="000000"/>
              <w:sz w:val="32"/>
            </w:rPr>
          </w:pPr>
          <w:r>
            <w:rPr>
              <w:rFonts w:ascii="Times New Roman" w:eastAsia="Times New Roman" w:hAnsi="Times New Roman" w:cs="Times New Roman"/>
              <w:b/>
              <w:vanish w:val="0"/>
              <w:color w:val="000000"/>
              <w:sz w:val="24"/>
            </w:rPr>
            <w:fldChar w:fldCharType="begin"/>
          </w:r>
          <w:r>
            <w:rPr>
              <w:rFonts w:ascii="Times New Roman" w:eastAsia="Times New Roman" w:hAnsi="Times New Roman" w:cs="Times New Roman"/>
              <w:b/>
              <w:vanish w:val="0"/>
              <w:color w:val="000000"/>
              <w:sz w:val="24"/>
            </w:rPr>
            <w:instrText>PAGE</w:instrText>
          </w:r>
          <w:r>
            <w:rPr>
              <w:rFonts w:ascii="Times New Roman" w:eastAsia="Times New Roman" w:hAnsi="Times New Roman" w:cs="Times New Roman"/>
              <w:b/>
              <w:vanish w:val="0"/>
              <w:color w:val="000000"/>
              <w:sz w:val="24"/>
            </w:rPr>
            <w:fldChar w:fldCharType="separate"/>
          </w:r>
          <w:r>
            <w:rPr>
              <w:rFonts w:ascii="Times New Roman" w:eastAsia="Times New Roman" w:hAnsi="Times New Roman" w:cs="Times New Roman"/>
              <w:b/>
              <w:noProof/>
              <w:vanish w:val="0"/>
              <w:color w:val="000000"/>
              <w:sz w:val="24"/>
              <w:szCs w:val="24"/>
              <w:lang w:val="en-US" w:eastAsia="en-US" w:bidi="ar-SA"/>
            </w:rPr>
            <w:t>27</w:t>
          </w:r>
          <w:r>
            <w:rPr>
              <w:rFonts w:ascii="Times New Roman" w:eastAsia="Times New Roman" w:hAnsi="Times New Roman" w:cs="Times New Roman"/>
              <w:b/>
              <w:vanish w:val="0"/>
              <w:color w:val="000000"/>
              <w:sz w:val="24"/>
            </w:rPr>
            <w:fldChar w:fldCharType="end"/>
          </w:r>
        </w:p>
      </w:tc>
      <w:tc>
        <w:tcPr>
          <w:tcMar>
            <w:top w:w="0" w:type="dxa"/>
            <w:left w:w="60" w:type="dxa"/>
            <w:bottom w:w="80" w:type="dxa"/>
            <w:right w:w="60" w:type="dxa"/>
          </w:tcMar>
          <w:vAlign w:val="top"/>
        </w:tcPr>
        <w:p>
          <w:pPr>
            <w:jc w:val="right"/>
            <w:rPr>
              <w:rFonts w:ascii="Times New Roman" w:eastAsia="Times New Roman" w:hAnsi="Times New Roman" w:cs="Times New Roman"/>
              <w:b/>
              <w:vanish w:val="0"/>
              <w:color w:val="000000"/>
              <w:sz w:val="32"/>
            </w:rPr>
          </w:pPr>
          <w:r>
            <w:rPr>
              <w:rFonts w:ascii="Times New Roman" w:eastAsia="Times New Roman" w:hAnsi="Times New Roman" w:cs="Times New Roman"/>
              <w:b/>
              <w:vanish w:val="0"/>
              <w:color w:val="000000"/>
              <w:sz w:val="32"/>
            </w:rPr>
            <w:t>SL</w:t>
          </w:r>
        </w:p>
      </w:tc>
    </w:tr>
  </w:tbl>
  <w:p>
    <w:pPr>
      <w:rPr>
        <w:rFonts w:ascii="Times New Roman" w:eastAsia="Times New Roman" w:hAnsi="Times New Roman" w:cs="Times New Roman"/>
        <w:b/>
        <w:color w:val="000000"/>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5000" w:type="pct"/>
      <w:tblCellMar>
        <w:left w:w="108" w:type="dxa"/>
        <w:right w:w="108" w:type="dxa"/>
      </w:tblCellMar>
    </w:tblPr>
    <w:tblGrid>
      <w:gridCol w:w="3837"/>
      <w:gridCol w:w="2697"/>
      <w:gridCol w:w="3836"/>
    </w:tblGrid>
    <w:tr>
      <w:tblPrEx>
        <w:tblW w:w="5000" w:type="pct"/>
      </w:tblPrEx>
      <w:trPr>
        <w:cantSplit w:val="0"/>
        <w:trHeight w:hRule="auto" w:val="0"/>
        <w:tblHeader w:val="0"/>
      </w:trPr>
      <w:tc>
        <w:tcPr>
          <w:tcMar>
            <w:top w:w="0" w:type="dxa"/>
            <w:left w:w="60" w:type="dxa"/>
            <w:bottom w:w="80" w:type="dxa"/>
            <w:right w:w="60" w:type="dxa"/>
          </w:tcMar>
          <w:vAlign w:val="top"/>
        </w:tcPr>
        <w:p>
          <w:pPr>
            <w:jc w:val="left"/>
            <w:rPr>
              <w:rFonts w:ascii="Times New Roman" w:eastAsia="Times New Roman" w:hAnsi="Times New Roman" w:cs="Times New Roman"/>
              <w:b/>
              <w:vanish w:val="0"/>
              <w:color w:val="000000"/>
              <w:sz w:val="24"/>
            </w:rPr>
          </w:pPr>
          <w:r>
            <w:rPr>
              <w:rFonts w:ascii="Times New Roman" w:eastAsia="Times New Roman" w:hAnsi="Times New Roman" w:cs="Times New Roman"/>
              <w:b/>
              <w:vanish w:val="0"/>
              <w:color w:val="000000"/>
              <w:sz w:val="32"/>
            </w:rPr>
            <w:t>SL</w:t>
          </w:r>
        </w:p>
      </w:tc>
      <w:tc>
        <w:tcPr>
          <w:tcMar>
            <w:top w:w="0" w:type="dxa"/>
            <w:left w:w="60" w:type="dxa"/>
            <w:bottom w:w="80" w:type="dxa"/>
            <w:right w:w="60" w:type="dxa"/>
          </w:tcMar>
          <w:vAlign w:val="top"/>
        </w:tcPr>
        <w:p>
          <w:pPr>
            <w:jc w:val="center"/>
            <w:rPr>
              <w:rFonts w:ascii="Times New Roman" w:eastAsia="Times New Roman" w:hAnsi="Times New Roman" w:cs="Times New Roman"/>
              <w:b/>
              <w:vanish w:val="0"/>
              <w:color w:val="000000"/>
              <w:sz w:val="32"/>
            </w:rPr>
          </w:pPr>
          <w:r>
            <w:rPr>
              <w:rFonts w:ascii="Times New Roman" w:eastAsia="Times New Roman" w:hAnsi="Times New Roman" w:cs="Times New Roman"/>
              <w:b/>
              <w:vanish w:val="0"/>
              <w:color w:val="000000"/>
              <w:sz w:val="24"/>
            </w:rPr>
            <w:fldChar w:fldCharType="begin"/>
          </w:r>
          <w:r>
            <w:rPr>
              <w:rFonts w:ascii="Times New Roman" w:eastAsia="Times New Roman" w:hAnsi="Times New Roman" w:cs="Times New Roman"/>
              <w:b/>
              <w:vanish w:val="0"/>
              <w:color w:val="000000"/>
              <w:sz w:val="24"/>
            </w:rPr>
            <w:instrText>PAGE</w:instrText>
          </w:r>
          <w:r>
            <w:rPr>
              <w:rFonts w:ascii="Times New Roman" w:eastAsia="Times New Roman" w:hAnsi="Times New Roman" w:cs="Times New Roman"/>
              <w:b/>
              <w:vanish w:val="0"/>
              <w:color w:val="000000"/>
              <w:sz w:val="24"/>
            </w:rPr>
            <w:fldChar w:fldCharType="separate"/>
          </w:r>
          <w:r>
            <w:rPr>
              <w:rFonts w:ascii="Times New Roman" w:eastAsia="Times New Roman" w:hAnsi="Times New Roman" w:cs="Times New Roman"/>
              <w:b/>
              <w:noProof/>
              <w:vanish w:val="0"/>
              <w:color w:val="000000"/>
              <w:sz w:val="24"/>
              <w:szCs w:val="24"/>
              <w:lang w:val="en-US" w:eastAsia="en-US" w:bidi="ar-SA"/>
            </w:rPr>
            <w:t>35</w:t>
          </w:r>
          <w:r>
            <w:rPr>
              <w:rFonts w:ascii="Times New Roman" w:eastAsia="Times New Roman" w:hAnsi="Times New Roman" w:cs="Times New Roman"/>
              <w:b/>
              <w:vanish w:val="0"/>
              <w:color w:val="000000"/>
              <w:sz w:val="24"/>
            </w:rPr>
            <w:fldChar w:fldCharType="end"/>
          </w:r>
        </w:p>
      </w:tc>
      <w:tc>
        <w:tcPr>
          <w:tcMar>
            <w:top w:w="0" w:type="dxa"/>
            <w:left w:w="60" w:type="dxa"/>
            <w:bottom w:w="80" w:type="dxa"/>
            <w:right w:w="60" w:type="dxa"/>
          </w:tcMar>
          <w:vAlign w:val="top"/>
        </w:tcPr>
        <w:p>
          <w:pPr>
            <w:jc w:val="right"/>
            <w:rPr>
              <w:rFonts w:ascii="Times New Roman" w:eastAsia="Times New Roman" w:hAnsi="Times New Roman" w:cs="Times New Roman"/>
              <w:b/>
              <w:vanish w:val="0"/>
              <w:color w:val="000000"/>
              <w:sz w:val="32"/>
            </w:rPr>
          </w:pPr>
          <w:r>
            <w:rPr>
              <w:rFonts w:ascii="Times New Roman" w:eastAsia="Times New Roman" w:hAnsi="Times New Roman" w:cs="Times New Roman"/>
              <w:b/>
              <w:vanish w:val="0"/>
              <w:color w:val="000000"/>
              <w:sz w:val="32"/>
            </w:rPr>
            <w:t>SL</w:t>
          </w:r>
        </w:p>
      </w:tc>
    </w:tr>
  </w:tbl>
  <w:p>
    <w:pPr>
      <w:rPr>
        <w:rFonts w:ascii="Times New Roman" w:eastAsia="Times New Roman" w:hAnsi="Times New Roman" w:cs="Times New Roman"/>
        <w:b/>
        <w:color w:val="000000"/>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5000" w:type="pct"/>
      <w:tblCellMar>
        <w:left w:w="108" w:type="dxa"/>
        <w:right w:w="108" w:type="dxa"/>
      </w:tblCellMar>
    </w:tblPr>
    <w:tblGrid>
      <w:gridCol w:w="5661"/>
      <w:gridCol w:w="3980"/>
      <w:gridCol w:w="5661"/>
    </w:tblGrid>
    <w:tr>
      <w:tblPrEx>
        <w:tblW w:w="5000" w:type="pct"/>
      </w:tblPrEx>
      <w:trPr>
        <w:cantSplit w:val="0"/>
        <w:trHeight w:hRule="auto" w:val="0"/>
        <w:tblHeader w:val="0"/>
      </w:trPr>
      <w:tc>
        <w:tcPr>
          <w:tcMar>
            <w:top w:w="0" w:type="dxa"/>
            <w:left w:w="60" w:type="dxa"/>
            <w:bottom w:w="80" w:type="dxa"/>
            <w:right w:w="60" w:type="dxa"/>
          </w:tcMar>
          <w:vAlign w:val="top"/>
        </w:tcPr>
        <w:p>
          <w:pPr>
            <w:jc w:val="left"/>
            <w:rPr>
              <w:rFonts w:ascii="Times New Roman" w:eastAsia="Times New Roman" w:hAnsi="Times New Roman" w:cs="Times New Roman"/>
              <w:b/>
              <w:vanish w:val="0"/>
              <w:color w:val="000000"/>
              <w:sz w:val="24"/>
            </w:rPr>
          </w:pPr>
          <w:r>
            <w:rPr>
              <w:rFonts w:ascii="Times New Roman" w:eastAsia="Times New Roman" w:hAnsi="Times New Roman" w:cs="Times New Roman"/>
              <w:b/>
              <w:vanish w:val="0"/>
              <w:color w:val="000000"/>
              <w:sz w:val="32"/>
            </w:rPr>
            <w:t>SL</w:t>
          </w:r>
        </w:p>
      </w:tc>
      <w:tc>
        <w:tcPr>
          <w:tcMar>
            <w:top w:w="0" w:type="dxa"/>
            <w:left w:w="60" w:type="dxa"/>
            <w:bottom w:w="80" w:type="dxa"/>
            <w:right w:w="60" w:type="dxa"/>
          </w:tcMar>
          <w:vAlign w:val="top"/>
        </w:tcPr>
        <w:p>
          <w:pPr>
            <w:jc w:val="center"/>
            <w:rPr>
              <w:rFonts w:ascii="Times New Roman" w:eastAsia="Times New Roman" w:hAnsi="Times New Roman" w:cs="Times New Roman"/>
              <w:b/>
              <w:vanish w:val="0"/>
              <w:color w:val="000000"/>
              <w:sz w:val="32"/>
            </w:rPr>
          </w:pPr>
          <w:r>
            <w:rPr>
              <w:rFonts w:ascii="Times New Roman" w:eastAsia="Times New Roman" w:hAnsi="Times New Roman" w:cs="Times New Roman"/>
              <w:b/>
              <w:vanish w:val="0"/>
              <w:color w:val="000000"/>
              <w:sz w:val="24"/>
            </w:rPr>
            <w:fldChar w:fldCharType="begin"/>
          </w:r>
          <w:r>
            <w:rPr>
              <w:rFonts w:ascii="Times New Roman" w:eastAsia="Times New Roman" w:hAnsi="Times New Roman" w:cs="Times New Roman"/>
              <w:b/>
              <w:vanish w:val="0"/>
              <w:color w:val="000000"/>
              <w:sz w:val="24"/>
            </w:rPr>
            <w:instrText>PAGE</w:instrText>
          </w:r>
          <w:r>
            <w:rPr>
              <w:rFonts w:ascii="Times New Roman" w:eastAsia="Times New Roman" w:hAnsi="Times New Roman" w:cs="Times New Roman"/>
              <w:b/>
              <w:vanish w:val="0"/>
              <w:color w:val="000000"/>
              <w:sz w:val="24"/>
            </w:rPr>
            <w:fldChar w:fldCharType="separate"/>
          </w:r>
          <w:r>
            <w:rPr>
              <w:rFonts w:ascii="Times New Roman" w:eastAsia="Times New Roman" w:hAnsi="Times New Roman" w:cs="Times New Roman"/>
              <w:b/>
              <w:noProof/>
              <w:vanish w:val="0"/>
              <w:color w:val="000000"/>
              <w:sz w:val="24"/>
              <w:szCs w:val="24"/>
              <w:lang w:val="en-US" w:eastAsia="en-US" w:bidi="ar-SA"/>
            </w:rPr>
            <w:t>39</w:t>
          </w:r>
          <w:r>
            <w:rPr>
              <w:rFonts w:ascii="Times New Roman" w:eastAsia="Times New Roman" w:hAnsi="Times New Roman" w:cs="Times New Roman"/>
              <w:b/>
              <w:vanish w:val="0"/>
              <w:color w:val="000000"/>
              <w:sz w:val="24"/>
            </w:rPr>
            <w:fldChar w:fldCharType="end"/>
          </w:r>
        </w:p>
      </w:tc>
      <w:tc>
        <w:tcPr>
          <w:tcMar>
            <w:top w:w="0" w:type="dxa"/>
            <w:left w:w="60" w:type="dxa"/>
            <w:bottom w:w="80" w:type="dxa"/>
            <w:right w:w="60" w:type="dxa"/>
          </w:tcMar>
          <w:vAlign w:val="top"/>
        </w:tcPr>
        <w:p>
          <w:pPr>
            <w:jc w:val="right"/>
            <w:rPr>
              <w:rFonts w:ascii="Times New Roman" w:eastAsia="Times New Roman" w:hAnsi="Times New Roman" w:cs="Times New Roman"/>
              <w:b/>
              <w:vanish w:val="0"/>
              <w:color w:val="000000"/>
              <w:sz w:val="32"/>
            </w:rPr>
          </w:pPr>
          <w:r>
            <w:rPr>
              <w:rFonts w:ascii="Times New Roman" w:eastAsia="Times New Roman" w:hAnsi="Times New Roman" w:cs="Times New Roman"/>
              <w:b/>
              <w:vanish w:val="0"/>
              <w:color w:val="000000"/>
              <w:sz w:val="32"/>
            </w:rPr>
            <w:t>SL</w:t>
          </w:r>
        </w:p>
      </w:tc>
    </w:tr>
  </w:tbl>
  <w:p>
    <w:pPr>
      <w:rPr>
        <w:rFonts w:ascii="Times New Roman" w:eastAsia="Times New Roman" w:hAnsi="Times New Roman" w:cs="Times New Roman"/>
        <w:b/>
        <w:color w:val="000000"/>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5000" w:type="pct"/>
      <w:tblCellMar>
        <w:left w:w="108" w:type="dxa"/>
        <w:right w:w="108" w:type="dxa"/>
      </w:tblCellMar>
    </w:tblPr>
    <w:tblGrid>
      <w:gridCol w:w="3837"/>
      <w:gridCol w:w="2697"/>
      <w:gridCol w:w="3836"/>
    </w:tblGrid>
    <w:tr>
      <w:tblPrEx>
        <w:tblW w:w="5000" w:type="pct"/>
      </w:tblPrEx>
      <w:trPr>
        <w:cantSplit w:val="0"/>
        <w:trHeight w:hRule="auto" w:val="0"/>
        <w:tblHeader w:val="0"/>
      </w:trPr>
      <w:tc>
        <w:tcPr>
          <w:tcMar>
            <w:top w:w="0" w:type="dxa"/>
            <w:left w:w="60" w:type="dxa"/>
            <w:bottom w:w="80" w:type="dxa"/>
            <w:right w:w="60" w:type="dxa"/>
          </w:tcMar>
          <w:vAlign w:val="top"/>
        </w:tcPr>
        <w:p>
          <w:pPr>
            <w:jc w:val="left"/>
            <w:rPr>
              <w:rFonts w:ascii="Times New Roman" w:eastAsia="Times New Roman" w:hAnsi="Times New Roman" w:cs="Times New Roman"/>
              <w:b/>
              <w:vanish w:val="0"/>
              <w:color w:val="000000"/>
              <w:sz w:val="24"/>
            </w:rPr>
          </w:pPr>
          <w:r>
            <w:rPr>
              <w:rFonts w:ascii="Times New Roman" w:eastAsia="Times New Roman" w:hAnsi="Times New Roman" w:cs="Times New Roman"/>
              <w:b/>
              <w:vanish w:val="0"/>
              <w:color w:val="000000"/>
              <w:sz w:val="32"/>
            </w:rPr>
            <w:t>SL</w:t>
          </w:r>
        </w:p>
      </w:tc>
      <w:tc>
        <w:tcPr>
          <w:tcMar>
            <w:top w:w="0" w:type="dxa"/>
            <w:left w:w="60" w:type="dxa"/>
            <w:bottom w:w="80" w:type="dxa"/>
            <w:right w:w="60" w:type="dxa"/>
          </w:tcMar>
          <w:vAlign w:val="top"/>
        </w:tcPr>
        <w:p>
          <w:pPr>
            <w:jc w:val="center"/>
            <w:rPr>
              <w:rFonts w:ascii="Times New Roman" w:eastAsia="Times New Roman" w:hAnsi="Times New Roman" w:cs="Times New Roman"/>
              <w:b/>
              <w:vanish w:val="0"/>
              <w:color w:val="000000"/>
              <w:sz w:val="32"/>
            </w:rPr>
          </w:pPr>
          <w:r>
            <w:rPr>
              <w:rFonts w:ascii="Times New Roman" w:eastAsia="Times New Roman" w:hAnsi="Times New Roman" w:cs="Times New Roman"/>
              <w:b/>
              <w:vanish w:val="0"/>
              <w:color w:val="000000"/>
              <w:sz w:val="24"/>
            </w:rPr>
            <w:fldChar w:fldCharType="begin"/>
          </w:r>
          <w:r>
            <w:rPr>
              <w:rFonts w:ascii="Times New Roman" w:eastAsia="Times New Roman" w:hAnsi="Times New Roman" w:cs="Times New Roman"/>
              <w:b/>
              <w:vanish w:val="0"/>
              <w:color w:val="000000"/>
              <w:sz w:val="24"/>
            </w:rPr>
            <w:instrText>PAGE</w:instrText>
          </w:r>
          <w:r>
            <w:rPr>
              <w:rFonts w:ascii="Times New Roman" w:eastAsia="Times New Roman" w:hAnsi="Times New Roman" w:cs="Times New Roman"/>
              <w:b/>
              <w:vanish w:val="0"/>
              <w:color w:val="000000"/>
              <w:sz w:val="24"/>
            </w:rPr>
            <w:fldChar w:fldCharType="separate"/>
          </w:r>
          <w:r>
            <w:rPr>
              <w:rFonts w:ascii="Times New Roman" w:eastAsia="Times New Roman" w:hAnsi="Times New Roman" w:cs="Times New Roman"/>
              <w:b/>
              <w:noProof/>
              <w:vanish w:val="0"/>
              <w:color w:val="000000"/>
              <w:sz w:val="24"/>
              <w:szCs w:val="24"/>
              <w:lang w:val="en-US" w:eastAsia="en-US" w:bidi="ar-SA"/>
            </w:rPr>
            <w:t>41</w:t>
          </w:r>
          <w:r>
            <w:rPr>
              <w:rFonts w:ascii="Times New Roman" w:eastAsia="Times New Roman" w:hAnsi="Times New Roman" w:cs="Times New Roman"/>
              <w:b/>
              <w:vanish w:val="0"/>
              <w:color w:val="000000"/>
              <w:sz w:val="24"/>
            </w:rPr>
            <w:fldChar w:fldCharType="end"/>
          </w:r>
        </w:p>
      </w:tc>
      <w:tc>
        <w:tcPr>
          <w:tcMar>
            <w:top w:w="0" w:type="dxa"/>
            <w:left w:w="60" w:type="dxa"/>
            <w:bottom w:w="80" w:type="dxa"/>
            <w:right w:w="60" w:type="dxa"/>
          </w:tcMar>
          <w:vAlign w:val="top"/>
        </w:tcPr>
        <w:p>
          <w:pPr>
            <w:jc w:val="right"/>
            <w:rPr>
              <w:rFonts w:ascii="Times New Roman" w:eastAsia="Times New Roman" w:hAnsi="Times New Roman" w:cs="Times New Roman"/>
              <w:b/>
              <w:vanish w:val="0"/>
              <w:color w:val="000000"/>
              <w:sz w:val="32"/>
            </w:rPr>
          </w:pPr>
          <w:r>
            <w:rPr>
              <w:rFonts w:ascii="Times New Roman" w:eastAsia="Times New Roman" w:hAnsi="Times New Roman" w:cs="Times New Roman"/>
              <w:b/>
              <w:vanish w:val="0"/>
              <w:color w:val="000000"/>
              <w:sz w:val="32"/>
            </w:rPr>
            <w:t>SL</w:t>
          </w:r>
        </w:p>
      </w:tc>
    </w:tr>
  </w:tbl>
  <w:p>
    <w:pPr>
      <w:rPr>
        <w:rFonts w:ascii="Times New Roman" w:eastAsia="Times New Roman" w:hAnsi="Times New Roman" w:cs="Times New Roman"/>
        <w:b/>
        <w:color w:val="000000"/>
      </w:rP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5000" w:type="pct"/>
      <w:tblCellMar>
        <w:left w:w="108" w:type="dxa"/>
        <w:right w:w="108" w:type="dxa"/>
      </w:tblCellMar>
    </w:tblPr>
    <w:tblGrid>
      <w:gridCol w:w="5661"/>
      <w:gridCol w:w="3980"/>
      <w:gridCol w:w="5661"/>
    </w:tblGrid>
    <w:tr>
      <w:tblPrEx>
        <w:tblW w:w="5000" w:type="pct"/>
      </w:tblPrEx>
      <w:trPr>
        <w:cantSplit w:val="0"/>
        <w:trHeight w:hRule="auto" w:val="0"/>
        <w:tblHeader w:val="0"/>
      </w:trPr>
      <w:tc>
        <w:tcPr>
          <w:tcMar>
            <w:top w:w="0" w:type="dxa"/>
            <w:left w:w="60" w:type="dxa"/>
            <w:bottom w:w="80" w:type="dxa"/>
            <w:right w:w="60" w:type="dxa"/>
          </w:tcMar>
          <w:vAlign w:val="top"/>
        </w:tcPr>
        <w:p>
          <w:pPr>
            <w:jc w:val="left"/>
            <w:rPr>
              <w:rFonts w:ascii="Times New Roman" w:eastAsia="Times New Roman" w:hAnsi="Times New Roman" w:cs="Times New Roman"/>
              <w:b/>
              <w:vanish w:val="0"/>
              <w:color w:val="000000"/>
              <w:sz w:val="24"/>
            </w:rPr>
          </w:pPr>
          <w:r>
            <w:rPr>
              <w:rFonts w:ascii="Times New Roman" w:eastAsia="Times New Roman" w:hAnsi="Times New Roman" w:cs="Times New Roman"/>
              <w:b/>
              <w:vanish w:val="0"/>
              <w:color w:val="000000"/>
              <w:sz w:val="32"/>
            </w:rPr>
            <w:t>SL</w:t>
          </w:r>
        </w:p>
      </w:tc>
      <w:tc>
        <w:tcPr>
          <w:tcMar>
            <w:top w:w="0" w:type="dxa"/>
            <w:left w:w="60" w:type="dxa"/>
            <w:bottom w:w="80" w:type="dxa"/>
            <w:right w:w="60" w:type="dxa"/>
          </w:tcMar>
          <w:vAlign w:val="top"/>
        </w:tcPr>
        <w:p>
          <w:pPr>
            <w:jc w:val="center"/>
            <w:rPr>
              <w:rFonts w:ascii="Times New Roman" w:eastAsia="Times New Roman" w:hAnsi="Times New Roman" w:cs="Times New Roman"/>
              <w:b/>
              <w:vanish w:val="0"/>
              <w:color w:val="000000"/>
              <w:sz w:val="32"/>
            </w:rPr>
          </w:pPr>
          <w:r>
            <w:rPr>
              <w:rFonts w:ascii="Times New Roman" w:eastAsia="Times New Roman" w:hAnsi="Times New Roman" w:cs="Times New Roman"/>
              <w:b/>
              <w:vanish w:val="0"/>
              <w:color w:val="000000"/>
              <w:sz w:val="24"/>
            </w:rPr>
            <w:fldChar w:fldCharType="begin"/>
          </w:r>
          <w:r>
            <w:rPr>
              <w:rFonts w:ascii="Times New Roman" w:eastAsia="Times New Roman" w:hAnsi="Times New Roman" w:cs="Times New Roman"/>
              <w:b/>
              <w:vanish w:val="0"/>
              <w:color w:val="000000"/>
              <w:sz w:val="24"/>
            </w:rPr>
            <w:instrText>PAGE</w:instrText>
          </w:r>
          <w:r>
            <w:rPr>
              <w:rFonts w:ascii="Times New Roman" w:eastAsia="Times New Roman" w:hAnsi="Times New Roman" w:cs="Times New Roman"/>
              <w:b/>
              <w:vanish w:val="0"/>
              <w:color w:val="000000"/>
              <w:sz w:val="24"/>
            </w:rPr>
            <w:fldChar w:fldCharType="separate"/>
          </w:r>
          <w:r>
            <w:rPr>
              <w:rFonts w:ascii="Times New Roman" w:eastAsia="Times New Roman" w:hAnsi="Times New Roman" w:cs="Times New Roman"/>
              <w:b/>
              <w:noProof/>
              <w:vanish w:val="0"/>
              <w:color w:val="000000"/>
              <w:sz w:val="24"/>
              <w:szCs w:val="24"/>
              <w:lang w:val="en-US" w:eastAsia="en-US" w:bidi="ar-SA"/>
            </w:rPr>
            <w:t>45</w:t>
          </w:r>
          <w:r>
            <w:rPr>
              <w:rFonts w:ascii="Times New Roman" w:eastAsia="Times New Roman" w:hAnsi="Times New Roman" w:cs="Times New Roman"/>
              <w:b/>
              <w:vanish w:val="0"/>
              <w:color w:val="000000"/>
              <w:sz w:val="24"/>
            </w:rPr>
            <w:fldChar w:fldCharType="end"/>
          </w:r>
        </w:p>
      </w:tc>
      <w:tc>
        <w:tcPr>
          <w:tcMar>
            <w:top w:w="0" w:type="dxa"/>
            <w:left w:w="60" w:type="dxa"/>
            <w:bottom w:w="80" w:type="dxa"/>
            <w:right w:w="60" w:type="dxa"/>
          </w:tcMar>
          <w:vAlign w:val="top"/>
        </w:tcPr>
        <w:p>
          <w:pPr>
            <w:jc w:val="right"/>
            <w:rPr>
              <w:rFonts w:ascii="Times New Roman" w:eastAsia="Times New Roman" w:hAnsi="Times New Roman" w:cs="Times New Roman"/>
              <w:b/>
              <w:vanish w:val="0"/>
              <w:color w:val="000000"/>
              <w:sz w:val="32"/>
            </w:rPr>
          </w:pPr>
          <w:r>
            <w:rPr>
              <w:rFonts w:ascii="Times New Roman" w:eastAsia="Times New Roman" w:hAnsi="Times New Roman" w:cs="Times New Roman"/>
              <w:b/>
              <w:vanish w:val="0"/>
              <w:color w:val="000000"/>
              <w:sz w:val="32"/>
            </w:rPr>
            <w:t>SL</w:t>
          </w:r>
        </w:p>
      </w:tc>
    </w:tr>
  </w:tbl>
  <w:p>
    <w:pPr>
      <w:rPr>
        <w:rFonts w:ascii="Times New Roman" w:eastAsia="Times New Roman" w:hAnsi="Times New Roman" w:cs="Times New Roman"/>
        <w:b/>
        <w:color w:val="000000"/>
      </w:rP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5000" w:type="pct"/>
      <w:tblCellMar>
        <w:left w:w="108" w:type="dxa"/>
        <w:right w:w="108" w:type="dxa"/>
      </w:tblCellMar>
    </w:tblPr>
    <w:tblGrid>
      <w:gridCol w:w="5661"/>
      <w:gridCol w:w="3980"/>
      <w:gridCol w:w="5661"/>
    </w:tblGrid>
    <w:tr>
      <w:tblPrEx>
        <w:tblW w:w="5000" w:type="pct"/>
      </w:tblPrEx>
      <w:trPr>
        <w:cantSplit w:val="0"/>
        <w:trHeight w:hRule="auto" w:val="0"/>
        <w:tblHeader w:val="0"/>
      </w:trPr>
      <w:tc>
        <w:tcPr>
          <w:tcMar>
            <w:top w:w="0" w:type="dxa"/>
            <w:left w:w="60" w:type="dxa"/>
            <w:bottom w:w="80" w:type="dxa"/>
            <w:right w:w="60" w:type="dxa"/>
          </w:tcMar>
          <w:vAlign w:val="center"/>
        </w:tcPr>
        <w:p>
          <w:pPr>
            <w:jc w:val="left"/>
            <w:rPr>
              <w:rFonts w:ascii="Times New Roman" w:eastAsia="Times New Roman" w:hAnsi="Times New Roman" w:cs="Times New Roman"/>
              <w:b/>
              <w:vanish w:val="0"/>
              <w:color w:val="000000"/>
              <w:sz w:val="24"/>
            </w:rPr>
          </w:pPr>
          <w:r>
            <w:rPr>
              <w:rFonts w:ascii="Times New Roman" w:eastAsia="Times New Roman" w:hAnsi="Times New Roman" w:cs="Times New Roman"/>
              <w:b/>
              <w:vanish w:val="0"/>
              <w:color w:val="000000"/>
              <w:sz w:val="32"/>
            </w:rPr>
            <w:t>SL</w:t>
          </w:r>
        </w:p>
      </w:tc>
      <w:tc>
        <w:tcPr>
          <w:tcMar>
            <w:top w:w="0" w:type="dxa"/>
            <w:left w:w="60" w:type="dxa"/>
            <w:bottom w:w="80" w:type="dxa"/>
            <w:right w:w="60" w:type="dxa"/>
          </w:tcMar>
          <w:vAlign w:val="center"/>
        </w:tcPr>
        <w:p>
          <w:pPr>
            <w:jc w:val="center"/>
            <w:rPr>
              <w:rFonts w:ascii="Times New Roman" w:eastAsia="Times New Roman" w:hAnsi="Times New Roman" w:cs="Times New Roman"/>
              <w:b/>
              <w:vanish w:val="0"/>
              <w:color w:val="000000"/>
              <w:sz w:val="32"/>
            </w:rPr>
          </w:pPr>
          <w:r>
            <w:rPr>
              <w:rFonts w:ascii="Times New Roman" w:eastAsia="Times New Roman" w:hAnsi="Times New Roman" w:cs="Times New Roman"/>
              <w:b/>
              <w:vanish w:val="0"/>
              <w:color w:val="000000"/>
              <w:sz w:val="24"/>
            </w:rPr>
            <w:fldChar w:fldCharType="begin"/>
          </w:r>
          <w:r>
            <w:rPr>
              <w:rFonts w:ascii="Times New Roman" w:eastAsia="Times New Roman" w:hAnsi="Times New Roman" w:cs="Times New Roman"/>
              <w:b/>
              <w:vanish w:val="0"/>
              <w:color w:val="000000"/>
              <w:sz w:val="24"/>
            </w:rPr>
            <w:instrText>PAGE</w:instrText>
          </w:r>
          <w:r>
            <w:rPr>
              <w:rFonts w:ascii="Times New Roman" w:eastAsia="Times New Roman" w:hAnsi="Times New Roman" w:cs="Times New Roman"/>
              <w:b/>
              <w:vanish w:val="0"/>
              <w:color w:val="000000"/>
              <w:sz w:val="24"/>
            </w:rPr>
            <w:fldChar w:fldCharType="separate"/>
          </w:r>
          <w:r>
            <w:rPr>
              <w:rFonts w:ascii="Times New Roman" w:eastAsia="Times New Roman" w:hAnsi="Times New Roman" w:cs="Times New Roman"/>
              <w:b/>
              <w:noProof/>
              <w:vanish w:val="0"/>
              <w:color w:val="000000"/>
              <w:sz w:val="24"/>
              <w:szCs w:val="24"/>
              <w:lang w:val="en-US" w:eastAsia="en-US" w:bidi="ar-SA"/>
            </w:rPr>
            <w:t>54</w:t>
          </w:r>
          <w:r>
            <w:rPr>
              <w:rFonts w:ascii="Times New Roman" w:eastAsia="Times New Roman" w:hAnsi="Times New Roman" w:cs="Times New Roman"/>
              <w:b/>
              <w:vanish w:val="0"/>
              <w:color w:val="000000"/>
              <w:sz w:val="24"/>
            </w:rPr>
            <w:fldChar w:fldCharType="end"/>
          </w:r>
        </w:p>
      </w:tc>
      <w:tc>
        <w:tcPr>
          <w:tcMar>
            <w:top w:w="0" w:type="dxa"/>
            <w:left w:w="60" w:type="dxa"/>
            <w:bottom w:w="80" w:type="dxa"/>
            <w:right w:w="60" w:type="dxa"/>
          </w:tcMar>
          <w:vAlign w:val="center"/>
        </w:tcPr>
        <w:p>
          <w:pPr>
            <w:jc w:val="right"/>
            <w:rPr>
              <w:rFonts w:ascii="Times New Roman" w:eastAsia="Times New Roman" w:hAnsi="Times New Roman" w:cs="Times New Roman"/>
              <w:b/>
              <w:vanish w:val="0"/>
              <w:color w:val="000000"/>
              <w:sz w:val="32"/>
            </w:rPr>
          </w:pPr>
          <w:r>
            <w:rPr>
              <w:rFonts w:ascii="Times New Roman" w:eastAsia="Times New Roman" w:hAnsi="Times New Roman" w:cs="Times New Roman"/>
              <w:b/>
              <w:vanish w:val="0"/>
              <w:color w:val="000000"/>
              <w:sz w:val="32"/>
            </w:rPr>
            <w:t>SL</w:t>
          </w:r>
        </w:p>
      </w:tc>
    </w:tr>
  </w:tbl>
  <w:p>
    <w:pPr>
      <w:rPr>
        <w:rFonts w:ascii="Times New Roman" w:eastAsia="Times New Roman" w:hAnsi="Times New Roman" w:cs="Times New Roman"/>
        <w:b/>
        <w:color w:val="000000"/>
      </w:rP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5000" w:type="pct"/>
      <w:tblCellMar>
        <w:left w:w="108" w:type="dxa"/>
        <w:right w:w="108" w:type="dxa"/>
      </w:tblCellMar>
    </w:tblPr>
    <w:tblGrid>
      <w:gridCol w:w="3837"/>
      <w:gridCol w:w="2697"/>
      <w:gridCol w:w="3836"/>
    </w:tblGrid>
    <w:tr>
      <w:tblPrEx>
        <w:tblW w:w="5000" w:type="pct"/>
      </w:tblPrEx>
      <w:trPr>
        <w:cantSplit w:val="0"/>
        <w:trHeight w:hRule="auto" w:val="0"/>
        <w:tblHeader w:val="0"/>
      </w:trPr>
      <w:tc>
        <w:tcPr>
          <w:tcMar>
            <w:top w:w="0" w:type="dxa"/>
            <w:left w:w="60" w:type="dxa"/>
            <w:bottom w:w="80" w:type="dxa"/>
            <w:right w:w="60" w:type="dxa"/>
          </w:tcMar>
          <w:vAlign w:val="top"/>
        </w:tcPr>
        <w:p>
          <w:pPr>
            <w:jc w:val="left"/>
            <w:rPr>
              <w:rFonts w:ascii="Times New Roman" w:eastAsia="Times New Roman" w:hAnsi="Times New Roman" w:cs="Times New Roman"/>
              <w:b/>
              <w:vanish w:val="0"/>
              <w:color w:val="000000"/>
              <w:sz w:val="24"/>
            </w:rPr>
          </w:pPr>
          <w:r>
            <w:rPr>
              <w:rFonts w:ascii="Times New Roman" w:eastAsia="Times New Roman" w:hAnsi="Times New Roman" w:cs="Times New Roman"/>
              <w:b/>
              <w:vanish w:val="0"/>
              <w:color w:val="000000"/>
              <w:sz w:val="32"/>
            </w:rPr>
            <w:t>SL</w:t>
          </w:r>
        </w:p>
      </w:tc>
      <w:tc>
        <w:tcPr>
          <w:tcMar>
            <w:top w:w="0" w:type="dxa"/>
            <w:left w:w="60" w:type="dxa"/>
            <w:bottom w:w="80" w:type="dxa"/>
            <w:right w:w="60" w:type="dxa"/>
          </w:tcMar>
          <w:vAlign w:val="top"/>
        </w:tcPr>
        <w:p>
          <w:pPr>
            <w:jc w:val="center"/>
            <w:rPr>
              <w:rFonts w:ascii="Times New Roman" w:eastAsia="Times New Roman" w:hAnsi="Times New Roman" w:cs="Times New Roman"/>
              <w:b/>
              <w:vanish w:val="0"/>
              <w:color w:val="000000"/>
              <w:sz w:val="32"/>
            </w:rPr>
          </w:pPr>
          <w:r>
            <w:rPr>
              <w:rFonts w:ascii="Times New Roman" w:eastAsia="Times New Roman" w:hAnsi="Times New Roman" w:cs="Times New Roman"/>
              <w:b/>
              <w:vanish w:val="0"/>
              <w:color w:val="000000"/>
              <w:sz w:val="24"/>
            </w:rPr>
            <w:fldChar w:fldCharType="begin"/>
          </w:r>
          <w:r>
            <w:rPr>
              <w:rFonts w:ascii="Times New Roman" w:eastAsia="Times New Roman" w:hAnsi="Times New Roman" w:cs="Times New Roman"/>
              <w:b/>
              <w:vanish w:val="0"/>
              <w:color w:val="000000"/>
              <w:sz w:val="24"/>
            </w:rPr>
            <w:instrText>PAGE</w:instrText>
          </w:r>
          <w:r>
            <w:rPr>
              <w:rFonts w:ascii="Times New Roman" w:eastAsia="Times New Roman" w:hAnsi="Times New Roman" w:cs="Times New Roman"/>
              <w:b/>
              <w:vanish w:val="0"/>
              <w:color w:val="000000"/>
              <w:sz w:val="24"/>
            </w:rPr>
            <w:fldChar w:fldCharType="separate"/>
          </w:r>
          <w:r>
            <w:rPr>
              <w:rFonts w:ascii="Times New Roman" w:eastAsia="Times New Roman" w:hAnsi="Times New Roman" w:cs="Times New Roman"/>
              <w:b/>
              <w:noProof/>
              <w:vanish w:val="0"/>
              <w:color w:val="000000"/>
              <w:sz w:val="24"/>
              <w:szCs w:val="24"/>
              <w:lang w:val="en-US" w:eastAsia="en-US" w:bidi="ar-SA"/>
            </w:rPr>
            <w:t>60</w:t>
          </w:r>
          <w:r>
            <w:rPr>
              <w:rFonts w:ascii="Times New Roman" w:eastAsia="Times New Roman" w:hAnsi="Times New Roman" w:cs="Times New Roman"/>
              <w:b/>
              <w:vanish w:val="0"/>
              <w:color w:val="000000"/>
              <w:sz w:val="24"/>
            </w:rPr>
            <w:fldChar w:fldCharType="end"/>
          </w:r>
        </w:p>
      </w:tc>
      <w:tc>
        <w:tcPr>
          <w:tcMar>
            <w:top w:w="0" w:type="dxa"/>
            <w:left w:w="60" w:type="dxa"/>
            <w:bottom w:w="80" w:type="dxa"/>
            <w:right w:w="60" w:type="dxa"/>
          </w:tcMar>
          <w:vAlign w:val="top"/>
        </w:tcPr>
        <w:p>
          <w:pPr>
            <w:jc w:val="right"/>
            <w:rPr>
              <w:rFonts w:ascii="Times New Roman" w:eastAsia="Times New Roman" w:hAnsi="Times New Roman" w:cs="Times New Roman"/>
              <w:b/>
              <w:vanish w:val="0"/>
              <w:color w:val="000000"/>
              <w:sz w:val="32"/>
            </w:rPr>
          </w:pPr>
          <w:r>
            <w:rPr>
              <w:rFonts w:ascii="Times New Roman" w:eastAsia="Times New Roman" w:hAnsi="Times New Roman" w:cs="Times New Roman"/>
              <w:b/>
              <w:vanish w:val="0"/>
              <w:color w:val="000000"/>
              <w:sz w:val="32"/>
            </w:rPr>
            <w:t>SL</w:t>
          </w:r>
        </w:p>
      </w:tc>
    </w:tr>
  </w:tbl>
  <w:p>
    <w:pPr>
      <w:rPr>
        <w:rFonts w:ascii="Times New Roman" w:eastAsia="Times New Roman" w:hAnsi="Times New Roman" w:cs="Times New Roman"/>
        <w:b/>
        <w:color w:val="000000"/>
      </w:rP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5000" w:type="pct"/>
      <w:tblCellMar>
        <w:left w:w="108" w:type="dxa"/>
        <w:right w:w="108" w:type="dxa"/>
      </w:tblCellMar>
    </w:tblPr>
    <w:tblGrid>
      <w:gridCol w:w="5661"/>
      <w:gridCol w:w="3980"/>
      <w:gridCol w:w="5661"/>
    </w:tblGrid>
    <w:tr>
      <w:tblPrEx>
        <w:tblW w:w="5000" w:type="pct"/>
      </w:tblPrEx>
      <w:trPr>
        <w:cantSplit w:val="0"/>
        <w:trHeight w:hRule="auto" w:val="0"/>
      </w:trPr>
      <w:tc>
        <w:tcPr>
          <w:tcMar>
            <w:top w:w="0" w:type="dxa"/>
            <w:left w:w="60" w:type="dxa"/>
            <w:bottom w:w="80" w:type="dxa"/>
            <w:right w:w="60" w:type="dxa"/>
          </w:tcMar>
          <w:vAlign w:val="top"/>
        </w:tcPr>
        <w:p>
          <w:pPr>
            <w:jc w:val="left"/>
            <w:rPr>
              <w:rFonts w:ascii="Times New Roman" w:eastAsia="Times New Roman" w:hAnsi="Times New Roman" w:cs="Times New Roman"/>
              <w:b/>
              <w:vanish w:val="0"/>
              <w:color w:val="000000"/>
              <w:sz w:val="24"/>
            </w:rPr>
          </w:pPr>
          <w:r>
            <w:rPr>
              <w:rFonts w:ascii="Times New Roman" w:eastAsia="Times New Roman" w:hAnsi="Times New Roman" w:cs="Times New Roman"/>
              <w:b/>
              <w:vanish w:val="0"/>
              <w:color w:val="000000"/>
              <w:sz w:val="32"/>
            </w:rPr>
            <w:t>SL</w:t>
          </w:r>
        </w:p>
      </w:tc>
      <w:tc>
        <w:tcPr>
          <w:tcMar>
            <w:top w:w="0" w:type="dxa"/>
            <w:left w:w="60" w:type="dxa"/>
            <w:bottom w:w="80" w:type="dxa"/>
            <w:right w:w="60" w:type="dxa"/>
          </w:tcMar>
          <w:vAlign w:val="top"/>
        </w:tcPr>
        <w:p>
          <w:pPr>
            <w:jc w:val="center"/>
            <w:rPr>
              <w:rFonts w:ascii="Times New Roman" w:eastAsia="Times New Roman" w:hAnsi="Times New Roman" w:cs="Times New Roman"/>
              <w:b/>
              <w:vanish w:val="0"/>
              <w:color w:val="000000"/>
              <w:sz w:val="32"/>
            </w:rPr>
          </w:pPr>
          <w:r>
            <w:rPr>
              <w:rFonts w:ascii="Times New Roman" w:eastAsia="Times New Roman" w:hAnsi="Times New Roman" w:cs="Times New Roman"/>
              <w:b/>
              <w:vanish w:val="0"/>
              <w:color w:val="000000"/>
              <w:sz w:val="24"/>
            </w:rPr>
            <w:fldChar w:fldCharType="begin"/>
          </w:r>
          <w:r>
            <w:rPr>
              <w:rFonts w:ascii="Times New Roman" w:eastAsia="Times New Roman" w:hAnsi="Times New Roman" w:cs="Times New Roman"/>
              <w:b/>
              <w:vanish w:val="0"/>
              <w:color w:val="000000"/>
              <w:sz w:val="24"/>
            </w:rPr>
            <w:instrText>PAGE</w:instrText>
          </w:r>
          <w:r>
            <w:rPr>
              <w:rFonts w:ascii="Times New Roman" w:eastAsia="Times New Roman" w:hAnsi="Times New Roman" w:cs="Times New Roman"/>
              <w:b/>
              <w:vanish w:val="0"/>
              <w:color w:val="000000"/>
              <w:sz w:val="24"/>
            </w:rPr>
            <w:fldChar w:fldCharType="separate"/>
          </w:r>
          <w:r>
            <w:rPr>
              <w:rFonts w:ascii="Times New Roman" w:eastAsia="Times New Roman" w:hAnsi="Times New Roman" w:cs="Times New Roman"/>
              <w:b/>
              <w:noProof/>
              <w:vanish w:val="0"/>
              <w:color w:val="000000"/>
              <w:sz w:val="24"/>
              <w:szCs w:val="24"/>
              <w:lang w:val="en-US" w:eastAsia="en-US" w:bidi="ar-SA"/>
            </w:rPr>
            <w:t>62</w:t>
          </w:r>
          <w:r>
            <w:rPr>
              <w:rFonts w:ascii="Times New Roman" w:eastAsia="Times New Roman" w:hAnsi="Times New Roman" w:cs="Times New Roman"/>
              <w:b/>
              <w:vanish w:val="0"/>
              <w:color w:val="000000"/>
              <w:sz w:val="24"/>
            </w:rPr>
            <w:fldChar w:fldCharType="end"/>
          </w:r>
        </w:p>
      </w:tc>
      <w:tc>
        <w:tcPr>
          <w:tcMar>
            <w:top w:w="0" w:type="dxa"/>
            <w:left w:w="60" w:type="dxa"/>
            <w:bottom w:w="80" w:type="dxa"/>
            <w:right w:w="60" w:type="dxa"/>
          </w:tcMar>
          <w:vAlign w:val="top"/>
        </w:tcPr>
        <w:p>
          <w:pPr>
            <w:jc w:val="right"/>
            <w:rPr>
              <w:rFonts w:ascii="Times New Roman" w:eastAsia="Times New Roman" w:hAnsi="Times New Roman" w:cs="Times New Roman"/>
              <w:b/>
              <w:vanish w:val="0"/>
              <w:color w:val="000000"/>
              <w:sz w:val="32"/>
            </w:rPr>
          </w:pPr>
          <w:r>
            <w:rPr>
              <w:rFonts w:ascii="Times New Roman" w:eastAsia="Times New Roman" w:hAnsi="Times New Roman" w:cs="Times New Roman"/>
              <w:b/>
              <w:vanish w:val="0"/>
              <w:color w:val="000000"/>
              <w:sz w:val="32"/>
            </w:rPr>
            <w:t>SL</w:t>
          </w:r>
        </w:p>
      </w:tc>
    </w:tr>
  </w:tbl>
  <w:p>
    <w:pPr>
      <w:rPr>
        <w:rFonts w:ascii="Times New Roman" w:eastAsia="Times New Roman" w:hAnsi="Times New Roman" w:cs="Times New Roman"/>
        <w:b/>
        <w:color w:val="000000"/>
      </w:rP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5000" w:type="pct"/>
      <w:tblCellMar>
        <w:left w:w="108" w:type="dxa"/>
        <w:right w:w="108" w:type="dxa"/>
      </w:tblCellMar>
    </w:tblPr>
    <w:tblGrid>
      <w:gridCol w:w="3837"/>
      <w:gridCol w:w="2697"/>
      <w:gridCol w:w="3836"/>
    </w:tblGrid>
    <w:tr>
      <w:tblPrEx>
        <w:tblW w:w="5000" w:type="pct"/>
      </w:tblPrEx>
      <w:trPr>
        <w:cantSplit w:val="0"/>
        <w:trHeight w:hRule="auto" w:val="0"/>
        <w:tblHeader w:val="0"/>
      </w:trPr>
      <w:tc>
        <w:tcPr>
          <w:tcMar>
            <w:top w:w="0" w:type="dxa"/>
            <w:left w:w="60" w:type="dxa"/>
            <w:bottom w:w="80" w:type="dxa"/>
            <w:right w:w="60" w:type="dxa"/>
          </w:tcMar>
          <w:vAlign w:val="center"/>
        </w:tcPr>
        <w:p>
          <w:pPr>
            <w:jc w:val="left"/>
            <w:rPr>
              <w:rFonts w:ascii="Times New Roman" w:eastAsia="Times New Roman" w:hAnsi="Times New Roman" w:cs="Times New Roman"/>
              <w:b/>
              <w:vanish w:val="0"/>
              <w:color w:val="000000"/>
              <w:sz w:val="24"/>
            </w:rPr>
          </w:pPr>
          <w:r>
            <w:rPr>
              <w:rFonts w:ascii="Times New Roman" w:eastAsia="Times New Roman" w:hAnsi="Times New Roman" w:cs="Times New Roman"/>
              <w:b/>
              <w:vanish w:val="0"/>
              <w:color w:val="000000"/>
              <w:sz w:val="32"/>
            </w:rPr>
            <w:t>SL</w:t>
          </w:r>
        </w:p>
      </w:tc>
      <w:tc>
        <w:tcPr>
          <w:tcMar>
            <w:top w:w="0" w:type="dxa"/>
            <w:left w:w="60" w:type="dxa"/>
            <w:bottom w:w="80" w:type="dxa"/>
            <w:right w:w="60" w:type="dxa"/>
          </w:tcMar>
          <w:vAlign w:val="center"/>
        </w:tcPr>
        <w:p>
          <w:pPr>
            <w:jc w:val="center"/>
            <w:rPr>
              <w:rFonts w:ascii="Times New Roman" w:eastAsia="Times New Roman" w:hAnsi="Times New Roman" w:cs="Times New Roman"/>
              <w:b/>
              <w:vanish w:val="0"/>
              <w:color w:val="000000"/>
              <w:sz w:val="32"/>
            </w:rPr>
          </w:pPr>
          <w:r>
            <w:rPr>
              <w:rFonts w:ascii="Times New Roman" w:eastAsia="Times New Roman" w:hAnsi="Times New Roman" w:cs="Times New Roman"/>
              <w:b/>
              <w:vanish w:val="0"/>
              <w:color w:val="000000"/>
              <w:sz w:val="24"/>
            </w:rPr>
            <w:fldChar w:fldCharType="begin"/>
          </w:r>
          <w:r>
            <w:rPr>
              <w:rFonts w:ascii="Times New Roman" w:eastAsia="Times New Roman" w:hAnsi="Times New Roman" w:cs="Times New Roman"/>
              <w:b/>
              <w:vanish w:val="0"/>
              <w:color w:val="000000"/>
              <w:sz w:val="24"/>
            </w:rPr>
            <w:instrText>PAGE</w:instrText>
          </w:r>
          <w:r>
            <w:rPr>
              <w:rFonts w:ascii="Times New Roman" w:eastAsia="Times New Roman" w:hAnsi="Times New Roman" w:cs="Times New Roman"/>
              <w:b/>
              <w:vanish w:val="0"/>
              <w:color w:val="000000"/>
              <w:sz w:val="24"/>
            </w:rPr>
            <w:fldChar w:fldCharType="separate"/>
          </w:r>
          <w:r>
            <w:rPr>
              <w:rFonts w:ascii="Times New Roman" w:eastAsia="Times New Roman" w:hAnsi="Times New Roman" w:cs="Times New Roman"/>
              <w:b/>
              <w:noProof/>
              <w:vanish w:val="0"/>
              <w:color w:val="000000"/>
              <w:sz w:val="24"/>
              <w:szCs w:val="24"/>
              <w:lang w:val="en-US" w:eastAsia="en-US" w:bidi="ar-SA"/>
            </w:rPr>
            <w:t>67</w:t>
          </w:r>
          <w:r>
            <w:rPr>
              <w:rFonts w:ascii="Times New Roman" w:eastAsia="Times New Roman" w:hAnsi="Times New Roman" w:cs="Times New Roman"/>
              <w:b/>
              <w:vanish w:val="0"/>
              <w:color w:val="000000"/>
              <w:sz w:val="24"/>
            </w:rPr>
            <w:fldChar w:fldCharType="end"/>
          </w:r>
        </w:p>
      </w:tc>
      <w:tc>
        <w:tcPr>
          <w:tcMar>
            <w:top w:w="0" w:type="dxa"/>
            <w:left w:w="60" w:type="dxa"/>
            <w:bottom w:w="80" w:type="dxa"/>
            <w:right w:w="60" w:type="dxa"/>
          </w:tcMar>
          <w:vAlign w:val="center"/>
        </w:tcPr>
        <w:p>
          <w:pPr>
            <w:jc w:val="right"/>
            <w:rPr>
              <w:rFonts w:ascii="Times New Roman" w:eastAsia="Times New Roman" w:hAnsi="Times New Roman" w:cs="Times New Roman"/>
              <w:b/>
              <w:vanish w:val="0"/>
              <w:color w:val="000000"/>
              <w:sz w:val="32"/>
            </w:rPr>
          </w:pPr>
          <w:r>
            <w:rPr>
              <w:rFonts w:ascii="Times New Roman" w:eastAsia="Times New Roman" w:hAnsi="Times New Roman" w:cs="Times New Roman"/>
              <w:b/>
              <w:vanish w:val="0"/>
              <w:color w:val="000000"/>
              <w:sz w:val="32"/>
            </w:rPr>
            <w:t>SL</w:t>
          </w:r>
        </w:p>
      </w:tc>
    </w:tr>
  </w:tbl>
  <w:p>
    <w:pPr>
      <w:rPr>
        <w:rFonts w:ascii="Times New Roman" w:eastAsia="Times New Roman" w:hAnsi="Times New Roman" w:cs="Times New Roman"/>
        <w:b/>
        <w:color w:val="000000"/>
      </w:rP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5000" w:type="pct"/>
      <w:tblCellMar>
        <w:left w:w="108" w:type="dxa"/>
        <w:right w:w="108" w:type="dxa"/>
      </w:tblCellMar>
    </w:tblPr>
    <w:tblGrid>
      <w:gridCol w:w="5588"/>
      <w:gridCol w:w="4245"/>
      <w:gridCol w:w="5589"/>
    </w:tblGrid>
    <w:tr>
      <w:tblPrEx>
        <w:tblW w:w="5000" w:type="pct"/>
      </w:tblPrEx>
      <w:trPr>
        <w:cantSplit w:val="0"/>
        <w:trHeight w:hRule="auto" w:val="0"/>
      </w:trPr>
      <w:tc>
        <w:tcPr>
          <w:tcMar>
            <w:top w:w="20" w:type="dxa"/>
            <w:left w:w="120" w:type="dxa"/>
            <w:bottom w:w="120" w:type="dxa"/>
            <w:right w:w="120" w:type="dxa"/>
          </w:tcMar>
          <w:vAlign w:val="bottom"/>
        </w:tcPr>
        <w:p>
          <w:pPr>
            <w:jc w:val="left"/>
            <w:rPr>
              <w:rFonts w:ascii="Times New Roman" w:eastAsia="Times New Roman" w:hAnsi="Times New Roman" w:cs="Times New Roman"/>
              <w:b/>
              <w:vanish w:val="0"/>
              <w:color w:val="000000"/>
              <w:sz w:val="24"/>
            </w:rPr>
          </w:pPr>
          <w:r>
            <w:rPr>
              <w:rFonts w:ascii="Times New Roman" w:eastAsia="Times New Roman" w:hAnsi="Times New Roman" w:cs="Times New Roman"/>
              <w:b/>
              <w:vanish w:val="0"/>
              <w:color w:val="000000"/>
              <w:sz w:val="32"/>
            </w:rPr>
            <w:t>SL</w:t>
          </w:r>
        </w:p>
      </w:tc>
      <w:tc>
        <w:tcPr>
          <w:tcMar>
            <w:top w:w="20" w:type="dxa"/>
            <w:left w:w="120" w:type="dxa"/>
            <w:bottom w:w="120" w:type="dxa"/>
            <w:right w:w="120" w:type="dxa"/>
          </w:tcMar>
          <w:vAlign w:val="bottom"/>
        </w:tcPr>
        <w:p>
          <w:pPr>
            <w:jc w:val="center"/>
            <w:rPr>
              <w:rFonts w:ascii="Times New Roman" w:eastAsia="Times New Roman" w:hAnsi="Times New Roman" w:cs="Times New Roman"/>
              <w:b/>
              <w:vanish w:val="0"/>
              <w:color w:val="000000"/>
              <w:sz w:val="32"/>
            </w:rPr>
          </w:pPr>
          <w:r>
            <w:rPr>
              <w:rFonts w:ascii="Times New Roman" w:eastAsia="Times New Roman" w:hAnsi="Times New Roman" w:cs="Times New Roman"/>
              <w:b/>
              <w:vanish w:val="0"/>
              <w:color w:val="000000"/>
              <w:sz w:val="24"/>
            </w:rPr>
            <w:fldChar w:fldCharType="begin"/>
          </w:r>
          <w:r>
            <w:rPr>
              <w:rFonts w:ascii="Times New Roman" w:eastAsia="Times New Roman" w:hAnsi="Times New Roman" w:cs="Times New Roman"/>
              <w:b/>
              <w:vanish w:val="0"/>
              <w:color w:val="000000"/>
              <w:sz w:val="24"/>
            </w:rPr>
            <w:instrText>PAGE</w:instrText>
          </w:r>
          <w:r>
            <w:rPr>
              <w:rFonts w:ascii="Times New Roman" w:eastAsia="Times New Roman" w:hAnsi="Times New Roman" w:cs="Times New Roman"/>
              <w:b/>
              <w:vanish w:val="0"/>
              <w:color w:val="000000"/>
              <w:sz w:val="24"/>
            </w:rPr>
            <w:fldChar w:fldCharType="separate"/>
          </w:r>
          <w:r>
            <w:rPr>
              <w:rFonts w:ascii="Times New Roman" w:eastAsia="Times New Roman" w:hAnsi="Times New Roman" w:cs="Times New Roman"/>
              <w:b/>
              <w:noProof/>
              <w:vanish w:val="0"/>
              <w:color w:val="000000"/>
              <w:sz w:val="24"/>
              <w:szCs w:val="24"/>
              <w:lang w:val="en-US" w:eastAsia="en-US" w:bidi="ar-SA"/>
            </w:rPr>
            <w:t>68</w:t>
          </w:r>
          <w:r>
            <w:rPr>
              <w:rFonts w:ascii="Times New Roman" w:eastAsia="Times New Roman" w:hAnsi="Times New Roman" w:cs="Times New Roman"/>
              <w:b/>
              <w:vanish w:val="0"/>
              <w:color w:val="000000"/>
              <w:sz w:val="24"/>
            </w:rPr>
            <w:fldChar w:fldCharType="end"/>
          </w:r>
        </w:p>
      </w:tc>
      <w:tc>
        <w:tcPr>
          <w:tcMar>
            <w:top w:w="20" w:type="dxa"/>
            <w:left w:w="120" w:type="dxa"/>
            <w:bottom w:w="120" w:type="dxa"/>
            <w:right w:w="120" w:type="dxa"/>
          </w:tcMar>
          <w:vAlign w:val="bottom"/>
        </w:tcPr>
        <w:p>
          <w:pPr>
            <w:jc w:val="right"/>
            <w:rPr>
              <w:rFonts w:ascii="Times New Roman" w:eastAsia="Times New Roman" w:hAnsi="Times New Roman" w:cs="Times New Roman"/>
              <w:b/>
              <w:vanish w:val="0"/>
              <w:color w:val="000000"/>
              <w:sz w:val="32"/>
            </w:rPr>
          </w:pPr>
          <w:r>
            <w:rPr>
              <w:rFonts w:ascii="Times New Roman" w:eastAsia="Times New Roman" w:hAnsi="Times New Roman" w:cs="Times New Roman"/>
              <w:b/>
              <w:vanish w:val="0"/>
              <w:color w:val="000000"/>
              <w:sz w:val="32"/>
            </w:rPr>
            <w:t>SL</w:t>
          </w:r>
        </w:p>
      </w:tc>
    </w:tr>
  </w:tbl>
  <w:p>
    <w:pPr>
      <w:rPr>
        <w:rFonts w:ascii="Times New Roman" w:eastAsia="Times New Roman" w:hAnsi="Times New Roman" w:cs="Times New Roman"/>
        <w:b/>
        <w:color w:val="000000"/>
      </w:rP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5000" w:type="pct"/>
      <w:tblCellMar>
        <w:left w:w="108" w:type="dxa"/>
        <w:right w:w="108" w:type="dxa"/>
      </w:tblCellMar>
    </w:tblPr>
    <w:tblGrid>
      <w:gridCol w:w="3837"/>
      <w:gridCol w:w="2697"/>
      <w:gridCol w:w="3836"/>
    </w:tblGrid>
    <w:tr>
      <w:tblPrEx>
        <w:tblW w:w="5000" w:type="pct"/>
      </w:tblPrEx>
      <w:trPr>
        <w:cantSplit w:val="0"/>
        <w:trHeight w:hRule="auto" w:val="0"/>
        <w:tblHeader w:val="0"/>
      </w:trPr>
      <w:tc>
        <w:tcPr>
          <w:tcMar>
            <w:top w:w="0" w:type="dxa"/>
            <w:left w:w="60" w:type="dxa"/>
            <w:bottom w:w="80" w:type="dxa"/>
            <w:right w:w="60" w:type="dxa"/>
          </w:tcMar>
          <w:vAlign w:val="center"/>
        </w:tcPr>
        <w:p>
          <w:pPr>
            <w:jc w:val="left"/>
            <w:rPr>
              <w:rFonts w:ascii="Times New Roman" w:eastAsia="Times New Roman" w:hAnsi="Times New Roman" w:cs="Times New Roman"/>
              <w:b/>
              <w:vanish w:val="0"/>
              <w:color w:val="000000"/>
              <w:sz w:val="24"/>
            </w:rPr>
          </w:pPr>
          <w:r>
            <w:rPr>
              <w:rFonts w:ascii="Times New Roman" w:eastAsia="Times New Roman" w:hAnsi="Times New Roman" w:cs="Times New Roman"/>
              <w:b/>
              <w:vanish w:val="0"/>
              <w:color w:val="000000"/>
              <w:sz w:val="32"/>
            </w:rPr>
            <w:t>SL</w:t>
          </w:r>
        </w:p>
      </w:tc>
      <w:tc>
        <w:tcPr>
          <w:tcMar>
            <w:top w:w="0" w:type="dxa"/>
            <w:left w:w="60" w:type="dxa"/>
            <w:bottom w:w="80" w:type="dxa"/>
            <w:right w:w="60" w:type="dxa"/>
          </w:tcMar>
          <w:vAlign w:val="center"/>
        </w:tcPr>
        <w:p>
          <w:pPr>
            <w:jc w:val="center"/>
            <w:rPr>
              <w:rFonts w:ascii="Times New Roman" w:eastAsia="Times New Roman" w:hAnsi="Times New Roman" w:cs="Times New Roman"/>
              <w:b/>
              <w:vanish w:val="0"/>
              <w:color w:val="000000"/>
              <w:sz w:val="32"/>
            </w:rPr>
          </w:pPr>
          <w:r>
            <w:rPr>
              <w:rFonts w:ascii="Times New Roman" w:eastAsia="Times New Roman" w:hAnsi="Times New Roman" w:cs="Times New Roman"/>
              <w:b/>
              <w:vanish w:val="0"/>
              <w:color w:val="000000"/>
              <w:sz w:val="24"/>
            </w:rPr>
            <w:fldChar w:fldCharType="begin"/>
          </w:r>
          <w:r>
            <w:rPr>
              <w:rFonts w:ascii="Times New Roman" w:eastAsia="Times New Roman" w:hAnsi="Times New Roman" w:cs="Times New Roman"/>
              <w:b/>
              <w:vanish w:val="0"/>
              <w:color w:val="000000"/>
              <w:sz w:val="24"/>
            </w:rPr>
            <w:instrText>PAGE</w:instrText>
          </w:r>
          <w:r>
            <w:rPr>
              <w:rFonts w:ascii="Times New Roman" w:eastAsia="Times New Roman" w:hAnsi="Times New Roman" w:cs="Times New Roman"/>
              <w:b/>
              <w:vanish w:val="0"/>
              <w:color w:val="000000"/>
              <w:sz w:val="24"/>
            </w:rPr>
            <w:fldChar w:fldCharType="separate"/>
          </w:r>
          <w:r>
            <w:rPr>
              <w:rFonts w:ascii="Times New Roman" w:eastAsia="Times New Roman" w:hAnsi="Times New Roman" w:cs="Times New Roman"/>
              <w:b/>
              <w:noProof/>
              <w:vanish w:val="0"/>
              <w:color w:val="000000"/>
              <w:sz w:val="24"/>
              <w:szCs w:val="24"/>
              <w:lang w:val="en-US" w:eastAsia="en-US" w:bidi="ar-SA"/>
            </w:rPr>
            <w:t>69</w:t>
          </w:r>
          <w:r>
            <w:rPr>
              <w:rFonts w:ascii="Times New Roman" w:eastAsia="Times New Roman" w:hAnsi="Times New Roman" w:cs="Times New Roman"/>
              <w:b/>
              <w:vanish w:val="0"/>
              <w:color w:val="000000"/>
              <w:sz w:val="24"/>
            </w:rPr>
            <w:fldChar w:fldCharType="end"/>
          </w:r>
        </w:p>
      </w:tc>
      <w:tc>
        <w:tcPr>
          <w:tcMar>
            <w:top w:w="0" w:type="dxa"/>
            <w:left w:w="60" w:type="dxa"/>
            <w:bottom w:w="80" w:type="dxa"/>
            <w:right w:w="60" w:type="dxa"/>
          </w:tcMar>
          <w:vAlign w:val="center"/>
        </w:tcPr>
        <w:p>
          <w:pPr>
            <w:jc w:val="right"/>
            <w:rPr>
              <w:rFonts w:ascii="Times New Roman" w:eastAsia="Times New Roman" w:hAnsi="Times New Roman" w:cs="Times New Roman"/>
              <w:b/>
              <w:vanish w:val="0"/>
              <w:color w:val="000000"/>
              <w:sz w:val="32"/>
            </w:rPr>
          </w:pPr>
          <w:r>
            <w:rPr>
              <w:rFonts w:ascii="Times New Roman" w:eastAsia="Times New Roman" w:hAnsi="Times New Roman" w:cs="Times New Roman"/>
              <w:b/>
              <w:vanish w:val="0"/>
              <w:color w:val="000000"/>
              <w:sz w:val="32"/>
            </w:rPr>
            <w:t>SL</w:t>
          </w:r>
        </w:p>
      </w:tc>
    </w:tr>
  </w:tbl>
  <w:p>
    <w:pPr>
      <w:rPr>
        <w:rFonts w:ascii="Times New Roman" w:eastAsia="Times New Roman" w:hAnsi="Times New Roman" w:cs="Times New Roman"/>
        <w:b/>
        <w:color w:val="000000"/>
      </w:rP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5000" w:type="pct"/>
      <w:tblCellMar>
        <w:left w:w="108" w:type="dxa"/>
        <w:right w:w="108" w:type="dxa"/>
      </w:tblCellMar>
    </w:tblPr>
    <w:tblGrid>
      <w:gridCol w:w="5661"/>
      <w:gridCol w:w="3980"/>
      <w:gridCol w:w="5661"/>
    </w:tblGrid>
    <w:tr>
      <w:tblPrEx>
        <w:tblW w:w="5000" w:type="pct"/>
      </w:tblPrEx>
      <w:trPr>
        <w:cantSplit w:val="0"/>
        <w:trHeight w:hRule="auto" w:val="0"/>
        <w:tblHeader w:val="0"/>
      </w:trPr>
      <w:tc>
        <w:tcPr>
          <w:tcMar>
            <w:top w:w="0" w:type="dxa"/>
            <w:left w:w="60" w:type="dxa"/>
            <w:bottom w:w="80" w:type="dxa"/>
            <w:right w:w="60" w:type="dxa"/>
          </w:tcMar>
          <w:vAlign w:val="center"/>
        </w:tcPr>
        <w:p>
          <w:pPr>
            <w:jc w:val="left"/>
            <w:rPr>
              <w:rFonts w:ascii="Times New Roman" w:eastAsia="Times New Roman" w:hAnsi="Times New Roman" w:cs="Times New Roman"/>
              <w:b/>
              <w:vanish w:val="0"/>
              <w:color w:val="000000"/>
              <w:sz w:val="24"/>
            </w:rPr>
          </w:pPr>
          <w:r>
            <w:rPr>
              <w:rFonts w:ascii="Times New Roman" w:eastAsia="Times New Roman" w:hAnsi="Times New Roman" w:cs="Times New Roman"/>
              <w:b/>
              <w:vanish w:val="0"/>
              <w:color w:val="000000"/>
              <w:sz w:val="32"/>
            </w:rPr>
            <w:t>SL</w:t>
          </w:r>
        </w:p>
      </w:tc>
      <w:tc>
        <w:tcPr>
          <w:tcMar>
            <w:top w:w="0" w:type="dxa"/>
            <w:left w:w="60" w:type="dxa"/>
            <w:bottom w:w="80" w:type="dxa"/>
            <w:right w:w="60" w:type="dxa"/>
          </w:tcMar>
          <w:vAlign w:val="center"/>
        </w:tcPr>
        <w:p>
          <w:pPr>
            <w:jc w:val="center"/>
            <w:rPr>
              <w:rFonts w:ascii="Times New Roman" w:eastAsia="Times New Roman" w:hAnsi="Times New Roman" w:cs="Times New Roman"/>
              <w:b/>
              <w:vanish w:val="0"/>
              <w:color w:val="000000"/>
              <w:sz w:val="32"/>
            </w:rPr>
          </w:pPr>
          <w:r>
            <w:rPr>
              <w:rFonts w:ascii="Times New Roman" w:eastAsia="Times New Roman" w:hAnsi="Times New Roman" w:cs="Times New Roman"/>
              <w:b/>
              <w:vanish w:val="0"/>
              <w:color w:val="000000"/>
              <w:sz w:val="24"/>
            </w:rPr>
            <w:fldChar w:fldCharType="begin"/>
          </w:r>
          <w:r>
            <w:rPr>
              <w:rFonts w:ascii="Times New Roman" w:eastAsia="Times New Roman" w:hAnsi="Times New Roman" w:cs="Times New Roman"/>
              <w:b/>
              <w:vanish w:val="0"/>
              <w:color w:val="000000"/>
              <w:sz w:val="24"/>
            </w:rPr>
            <w:instrText>PAGE</w:instrText>
          </w:r>
          <w:r>
            <w:rPr>
              <w:rFonts w:ascii="Times New Roman" w:eastAsia="Times New Roman" w:hAnsi="Times New Roman" w:cs="Times New Roman"/>
              <w:b/>
              <w:vanish w:val="0"/>
              <w:color w:val="000000"/>
              <w:sz w:val="24"/>
            </w:rPr>
            <w:fldChar w:fldCharType="separate"/>
          </w:r>
          <w:r>
            <w:rPr>
              <w:rFonts w:ascii="Times New Roman" w:eastAsia="Times New Roman" w:hAnsi="Times New Roman" w:cs="Times New Roman"/>
              <w:b/>
              <w:noProof/>
              <w:vanish w:val="0"/>
              <w:color w:val="000000"/>
              <w:sz w:val="24"/>
              <w:szCs w:val="24"/>
              <w:lang w:val="en-US" w:eastAsia="en-US" w:bidi="ar-SA"/>
            </w:rPr>
            <w:t>70</w:t>
          </w:r>
          <w:r>
            <w:rPr>
              <w:rFonts w:ascii="Times New Roman" w:eastAsia="Times New Roman" w:hAnsi="Times New Roman" w:cs="Times New Roman"/>
              <w:b/>
              <w:vanish w:val="0"/>
              <w:color w:val="000000"/>
              <w:sz w:val="24"/>
            </w:rPr>
            <w:fldChar w:fldCharType="end"/>
          </w:r>
        </w:p>
      </w:tc>
      <w:tc>
        <w:tcPr>
          <w:tcMar>
            <w:top w:w="0" w:type="dxa"/>
            <w:left w:w="60" w:type="dxa"/>
            <w:bottom w:w="80" w:type="dxa"/>
            <w:right w:w="60" w:type="dxa"/>
          </w:tcMar>
          <w:vAlign w:val="center"/>
        </w:tcPr>
        <w:p>
          <w:pPr>
            <w:jc w:val="right"/>
            <w:rPr>
              <w:rFonts w:ascii="Times New Roman" w:eastAsia="Times New Roman" w:hAnsi="Times New Roman" w:cs="Times New Roman"/>
              <w:b/>
              <w:vanish w:val="0"/>
              <w:color w:val="000000"/>
              <w:sz w:val="32"/>
            </w:rPr>
          </w:pPr>
          <w:r>
            <w:rPr>
              <w:rFonts w:ascii="Times New Roman" w:eastAsia="Times New Roman" w:hAnsi="Times New Roman" w:cs="Times New Roman"/>
              <w:b/>
              <w:vanish w:val="0"/>
              <w:color w:val="000000"/>
              <w:sz w:val="32"/>
            </w:rPr>
            <w:t>SL</w:t>
          </w:r>
        </w:p>
      </w:tc>
    </w:tr>
  </w:tbl>
  <w:p>
    <w:pPr>
      <w:rPr>
        <w:rFonts w:ascii="Times New Roman" w:eastAsia="Times New Roman" w:hAnsi="Times New Roman" w:cs="Times New Roman"/>
        <w:b/>
        <w:color w:val="000000"/>
      </w:rP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5000" w:type="pct"/>
      <w:tblCellMar>
        <w:left w:w="108" w:type="dxa"/>
        <w:right w:w="108" w:type="dxa"/>
      </w:tblCellMar>
    </w:tblPr>
    <w:tblGrid>
      <w:gridCol w:w="5661"/>
      <w:gridCol w:w="3980"/>
      <w:gridCol w:w="5661"/>
    </w:tblGrid>
    <w:tr>
      <w:tblPrEx>
        <w:tblW w:w="5000" w:type="pct"/>
      </w:tblPrEx>
      <w:trPr>
        <w:cantSplit w:val="0"/>
        <w:trHeight w:hRule="auto" w:val="0"/>
      </w:trPr>
      <w:tc>
        <w:tcPr>
          <w:tcMar>
            <w:top w:w="0" w:type="dxa"/>
            <w:left w:w="60" w:type="dxa"/>
            <w:bottom w:w="80" w:type="dxa"/>
            <w:right w:w="60" w:type="dxa"/>
          </w:tcMar>
          <w:vAlign w:val="top"/>
        </w:tcPr>
        <w:p>
          <w:pPr>
            <w:jc w:val="left"/>
            <w:rPr>
              <w:rFonts w:ascii="Times New Roman" w:eastAsia="Times New Roman" w:hAnsi="Times New Roman" w:cs="Times New Roman"/>
              <w:b/>
              <w:vanish w:val="0"/>
              <w:color w:val="000000"/>
              <w:sz w:val="24"/>
            </w:rPr>
          </w:pPr>
          <w:r>
            <w:rPr>
              <w:rFonts w:ascii="Times New Roman" w:eastAsia="Times New Roman" w:hAnsi="Times New Roman" w:cs="Times New Roman"/>
              <w:b/>
              <w:vanish w:val="0"/>
              <w:color w:val="000000"/>
              <w:sz w:val="32"/>
            </w:rPr>
            <w:t>SL</w:t>
          </w:r>
        </w:p>
      </w:tc>
      <w:tc>
        <w:tcPr>
          <w:tcMar>
            <w:top w:w="0" w:type="dxa"/>
            <w:left w:w="60" w:type="dxa"/>
            <w:bottom w:w="80" w:type="dxa"/>
            <w:right w:w="60" w:type="dxa"/>
          </w:tcMar>
          <w:vAlign w:val="top"/>
        </w:tcPr>
        <w:p>
          <w:pPr>
            <w:jc w:val="center"/>
            <w:rPr>
              <w:rFonts w:ascii="Times New Roman" w:eastAsia="Times New Roman" w:hAnsi="Times New Roman" w:cs="Times New Roman"/>
              <w:b/>
              <w:vanish w:val="0"/>
              <w:color w:val="000000"/>
              <w:sz w:val="32"/>
            </w:rPr>
          </w:pPr>
          <w:r>
            <w:rPr>
              <w:rFonts w:ascii="Times New Roman" w:eastAsia="Times New Roman" w:hAnsi="Times New Roman" w:cs="Times New Roman"/>
              <w:b/>
              <w:vanish w:val="0"/>
              <w:color w:val="000000"/>
              <w:sz w:val="24"/>
            </w:rPr>
            <w:fldChar w:fldCharType="begin"/>
          </w:r>
          <w:r>
            <w:rPr>
              <w:rFonts w:ascii="Times New Roman" w:eastAsia="Times New Roman" w:hAnsi="Times New Roman" w:cs="Times New Roman"/>
              <w:b/>
              <w:vanish w:val="0"/>
              <w:color w:val="000000"/>
              <w:sz w:val="24"/>
            </w:rPr>
            <w:instrText>PAGE</w:instrText>
          </w:r>
          <w:r>
            <w:rPr>
              <w:rFonts w:ascii="Times New Roman" w:eastAsia="Times New Roman" w:hAnsi="Times New Roman" w:cs="Times New Roman"/>
              <w:b/>
              <w:vanish w:val="0"/>
              <w:color w:val="000000"/>
              <w:sz w:val="24"/>
            </w:rPr>
            <w:fldChar w:fldCharType="separate"/>
          </w:r>
          <w:r>
            <w:rPr>
              <w:rFonts w:ascii="Times New Roman" w:eastAsia="Times New Roman" w:hAnsi="Times New Roman" w:cs="Times New Roman"/>
              <w:b/>
              <w:noProof/>
              <w:vanish w:val="0"/>
              <w:color w:val="000000"/>
              <w:sz w:val="24"/>
              <w:szCs w:val="24"/>
              <w:lang w:val="en-US" w:eastAsia="en-US" w:bidi="ar-SA"/>
            </w:rPr>
            <w:t>71</w:t>
          </w:r>
          <w:r>
            <w:rPr>
              <w:rFonts w:ascii="Times New Roman" w:eastAsia="Times New Roman" w:hAnsi="Times New Roman" w:cs="Times New Roman"/>
              <w:b/>
              <w:vanish w:val="0"/>
              <w:color w:val="000000"/>
              <w:sz w:val="24"/>
            </w:rPr>
            <w:fldChar w:fldCharType="end"/>
          </w:r>
        </w:p>
      </w:tc>
      <w:tc>
        <w:tcPr>
          <w:tcMar>
            <w:top w:w="0" w:type="dxa"/>
            <w:left w:w="60" w:type="dxa"/>
            <w:bottom w:w="80" w:type="dxa"/>
            <w:right w:w="60" w:type="dxa"/>
          </w:tcMar>
          <w:vAlign w:val="top"/>
        </w:tcPr>
        <w:p>
          <w:pPr>
            <w:jc w:val="right"/>
            <w:rPr>
              <w:rFonts w:ascii="Times New Roman" w:eastAsia="Times New Roman" w:hAnsi="Times New Roman" w:cs="Times New Roman"/>
              <w:b/>
              <w:vanish w:val="0"/>
              <w:color w:val="000000"/>
              <w:sz w:val="32"/>
            </w:rPr>
          </w:pPr>
          <w:r>
            <w:rPr>
              <w:rFonts w:ascii="Times New Roman" w:eastAsia="Times New Roman" w:hAnsi="Times New Roman" w:cs="Times New Roman"/>
              <w:b/>
              <w:vanish w:val="0"/>
              <w:color w:val="000000"/>
              <w:sz w:val="32"/>
            </w:rPr>
            <w:t>SL</w:t>
          </w:r>
        </w:p>
      </w:tc>
    </w:tr>
  </w:tbl>
  <w:p>
    <w:pPr>
      <w:rPr>
        <w:rFonts w:ascii="Times New Roman" w:eastAsia="Times New Roman" w:hAnsi="Times New Roman" w:cs="Times New Roman"/>
        <w:b/>
        <w:color w:val="000000"/>
      </w:rP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000001"/>
    <w:multiLevelType w:val="hybridMultilevel"/>
    <w:tmpl w:val="00000001"/>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nsid w:val="00000002"/>
    <w:multiLevelType w:val="hybridMultilevel"/>
    <w:tmpl w:val="00000002"/>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nsid w:val="00000003"/>
    <w:multiLevelType w:val="hybridMultilevel"/>
    <w:tmpl w:val="00000003"/>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nsid w:val="00000004"/>
    <w:multiLevelType w:val="hybridMultilevel"/>
    <w:tmpl w:val="00000004"/>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nsid w:val="00000005"/>
    <w:multiLevelType w:val="hybridMultilevel"/>
    <w:tmpl w:val="00000005"/>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nsid w:val="00000006"/>
    <w:multiLevelType w:val="hybridMultilevel"/>
    <w:tmpl w:val="00000006"/>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6">
    <w:nsid w:val="00000007"/>
    <w:multiLevelType w:val="hybridMultilevel"/>
    <w:tmpl w:val="00000007"/>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7">
    <w:nsid w:val="00000008"/>
    <w:multiLevelType w:val="hybridMultilevel"/>
    <w:tmpl w:val="00000008"/>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8">
    <w:nsid w:val="00000009"/>
    <w:multiLevelType w:val="hybridMultilevel"/>
    <w:tmpl w:val="00000009"/>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9">
    <w:nsid w:val="0000000A"/>
    <w:multiLevelType w:val="hybridMultilevel"/>
    <w:tmpl w:val="0000000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0">
    <w:nsid w:val="0000000B"/>
    <w:multiLevelType w:val="hybridMultilevel"/>
    <w:tmpl w:val="0000000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1">
    <w:nsid w:val="0000000C"/>
    <w:multiLevelType w:val="hybridMultilevel"/>
    <w:tmpl w:val="0000000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2">
    <w:nsid w:val="0000000D"/>
    <w:multiLevelType w:val="hybridMultilevel"/>
    <w:tmpl w:val="0000000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3">
    <w:nsid w:val="0000000E"/>
    <w:multiLevelType w:val="hybridMultilevel"/>
    <w:tmpl w:val="0000000E"/>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4">
    <w:nsid w:val="0000000F"/>
    <w:multiLevelType w:val="hybridMultilevel"/>
    <w:tmpl w:val="0000000F"/>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5">
    <w:nsid w:val="00000010"/>
    <w:multiLevelType w:val="hybridMultilevel"/>
    <w:tmpl w:val="00000010"/>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6">
    <w:nsid w:val="00000011"/>
    <w:multiLevelType w:val="hybridMultilevel"/>
    <w:tmpl w:val="00000011"/>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7">
    <w:nsid w:val="00000012"/>
    <w:multiLevelType w:val="hybridMultilevel"/>
    <w:tmpl w:val="00000012"/>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8">
    <w:nsid w:val="00000013"/>
    <w:multiLevelType w:val="hybridMultilevel"/>
    <w:tmpl w:val="00000013"/>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9">
    <w:nsid w:val="00000014"/>
    <w:multiLevelType w:val="hybridMultilevel"/>
    <w:tmpl w:val="00000014"/>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0">
    <w:nsid w:val="00000015"/>
    <w:multiLevelType w:val="hybridMultilevel"/>
    <w:tmpl w:val="00000015"/>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1">
    <w:nsid w:val="00000016"/>
    <w:multiLevelType w:val="hybridMultilevel"/>
    <w:tmpl w:val="00000016"/>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2">
    <w:nsid w:val="00000017"/>
    <w:multiLevelType w:val="hybridMultilevel"/>
    <w:tmpl w:val="00000017"/>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3">
    <w:nsid w:val="00000018"/>
    <w:multiLevelType w:val="hybridMultilevel"/>
    <w:tmpl w:val="00000018"/>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4">
    <w:nsid w:val="00000019"/>
    <w:multiLevelType w:val="hybridMultilevel"/>
    <w:tmpl w:val="00000019"/>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5">
    <w:nsid w:val="0000001A"/>
    <w:multiLevelType w:val="hybridMultilevel"/>
    <w:tmpl w:val="0000001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6">
    <w:nsid w:val="0000001B"/>
    <w:multiLevelType w:val="hybridMultilevel"/>
    <w:tmpl w:val="0000001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7">
    <w:nsid w:val="0000001C"/>
    <w:multiLevelType w:val="hybridMultilevel"/>
    <w:tmpl w:val="0000001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noProof/>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EF7B96"/>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EF7B96"/>
    <w:pPr>
      <w:keepNext/>
      <w:spacing w:before="240" w:after="60"/>
      <w:outlineLvl w:val="2"/>
    </w:pPr>
    <w:rPr>
      <w:rFonts w:ascii="Arial" w:hAnsi="Arial" w:cs="Arial"/>
      <w:b/>
      <w:bCs/>
      <w:sz w:val="26"/>
      <w:szCs w:val="26"/>
    </w:rPr>
  </w:style>
  <w:style w:type="paragraph" w:styleId="Heading4">
    <w:name w:val="heading 4"/>
    <w:basedOn w:val="Normal"/>
    <w:next w:val="Normal"/>
    <w:qFormat/>
    <w:rsid w:val="00EF7B96"/>
    <w:pPr>
      <w:keepNext/>
      <w:spacing w:before="240" w:after="60"/>
      <w:outlineLvl w:val="3"/>
    </w:pPr>
    <w:rPr>
      <w:b/>
      <w:bCs/>
      <w:sz w:val="28"/>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styleId="Strong">
    <w:name w:val="Strong"/>
    <w:basedOn w:val="DefaultParagraphFont"/>
    <w:qFormat/>
    <w:rsid w:val="00EF7B96"/>
    <w:rPr>
      <w:b/>
      <w:bCs/>
    </w:rPr>
  </w:style>
  <w:style w:type="character" w:styleId="Emphasis">
    <w:name w:val="Emphasis"/>
    <w:basedOn w:val="DefaultParagraphFont"/>
    <w:qFormat/>
    <w:rsid w:val="00EF7B96"/>
    <w:rPr>
      <w:i/>
      <w:iCs/>
    </w:rPr>
  </w:style>
  <w:style w:type="paragraph" w:styleId="TOC1">
    <w:name w:val="toc 1"/>
    <w:basedOn w:val="Normal"/>
    <w:next w:val="Normal"/>
    <w:autoRedefine/>
    <w:rsid w:val="00805BCE"/>
    <w:rPr>
      <w:b w:val="0"/>
      <w:caps w:val="0"/>
    </w:rPr>
  </w:style>
  <w:style w:type="character" w:styleId="Hyperlink">
    <w:name w:val="Hyperlink"/>
    <w:basedOn w:val="DefaultParagraphFont"/>
    <w:rsid w:val="00EF7B96"/>
    <w:rPr>
      <w:color w:val="0000FF"/>
      <w:u w:val="single"/>
    </w:rPr>
  </w:style>
  <w:style w:type="paragraph" w:styleId="TOC2">
    <w:name w:val="toc 2"/>
    <w:basedOn w:val="Normal"/>
    <w:next w:val="Normal"/>
    <w:autoRedefine/>
    <w:rsid w:val="00805BCE"/>
    <w:pPr>
      <w:ind w:left="240"/>
    </w:pPr>
  </w:style>
  <w:style w:type="paragraph" w:styleId="TOC3">
    <w:name w:val="toc 3"/>
    <w:basedOn w:val="Normal"/>
    <w:next w:val="Normal"/>
    <w:autoRedefine/>
    <w:rsid w:val="00805BCE"/>
    <w:pPr>
      <w:ind w:left="480"/>
    </w:pPr>
    <w:rPr>
      <w:i w:val="0"/>
    </w:rPr>
  </w:style>
  <w:style w:type="paragraph" w:styleId="TOC4">
    <w:name w:val="toc 4"/>
    <w:basedOn w:val="Normal"/>
    <w:next w:val="Normal"/>
    <w:autoRedefine/>
    <w:rsid w:val="00805BCE"/>
    <w:pPr>
      <w:ind w:left="720"/>
    </w:pPr>
    <w:rPr>
      <w:i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theme" Target="theme/theme1.xml" /><Relationship Id="rId113" Type="http://schemas.openxmlformats.org/officeDocument/2006/relationships/numbering" Target="numbering.xml" /><Relationship Id="rId114" Type="http://schemas.openxmlformats.org/officeDocument/2006/relationships/styles" Target="styles.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71</Pages>
  <Words>0</Words>
  <Characters>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coreProperties>
</file>